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重庆市万州区国库集中支付中心</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重庆市万州区国库集中支付中心主要承担以下主要职能职责：一是根据预算控制数，预算指标和季度分月用款计划，具体办理财政直接支付和财政授权支付业务。按照规定程序审核预算单位直接支付申请，开具财政直接支付汇总清算通知单和支付凭证，代理银行办理支付和结算。根据季度分月用款计划，开具授权支付通知单，代理银行办理支付和结算；二是管理财政零余额账户，试点单位零余额账户，特色专户和试点单位预留印鉴；三是负责试点单位明细账核算；四是按月收取试点单位报送的“拨款对账表”定期与国库处，代理银行和试点单位对账；五是承担对财政资金支付使用情况进行执法检查。</w:t>
      </w:r>
    </w:p>
    <w:p>
      <w:pPr>
        <w:pStyle w:val="6"/>
        <w:shd w:val="clear" w:color="auto" w:fill="FFFFFF"/>
        <w:ind w:firstLine="420"/>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重庆市万州区国库集中支付中心为区财政局下属非独立核算事业单位，未单独设立科室，其职能职责与区财政局相关科室合并履行。</w:t>
      </w:r>
    </w:p>
    <w:p>
      <w:pPr>
        <w:pStyle w:val="6"/>
        <w:shd w:val="clear" w:color="auto" w:fill="FFFFFF"/>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二、单位决算情况说明</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2023年度收入总计716.57万元，支出总计</w:t>
      </w:r>
      <w:r>
        <w:rPr>
          <w:rFonts w:ascii="方正仿宋_GBK" w:hAnsi="方正仿宋_GBK" w:eastAsia="方正仿宋_GBK" w:cs="方正仿宋_GBK"/>
          <w:color w:val="auto"/>
          <w:sz w:val="32"/>
          <w:szCs w:val="32"/>
        </w:rPr>
        <w:t>716.57</w:t>
      </w:r>
      <w:r>
        <w:rPr>
          <w:rFonts w:ascii="方正仿宋_GBK" w:hAnsi="方正仿宋_GBK" w:eastAsia="方正仿宋_GBK" w:cs="方正仿宋_GBK"/>
          <w:color w:val="auto"/>
          <w:sz w:val="32"/>
          <w:szCs w:val="32"/>
          <w:shd w:val="clear" w:color="auto" w:fill="FFFFFF"/>
        </w:rPr>
        <w:t>万元。收支较上年决算数增加15.48万元，增长2.21%，主要原因是</w:t>
      </w:r>
      <w:r>
        <w:rPr>
          <w:rFonts w:hint="eastAsia" w:ascii="方正仿宋_GBK" w:hAnsi="方正仿宋_GBK" w:eastAsia="方正仿宋_GBK" w:cs="方正仿宋_GBK"/>
          <w:color w:val="auto"/>
          <w:sz w:val="32"/>
          <w:szCs w:val="32"/>
          <w:shd w:val="clear" w:color="auto" w:fill="FFFFFF"/>
        </w:rPr>
        <w:t>人员调进调出</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人员经费及公用经费增加</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2023年度收入合计716.57万元，较上年决算数增加15.48万元，增长2.21%，主要原因是</w:t>
      </w:r>
      <w:r>
        <w:rPr>
          <w:rFonts w:hint="eastAsia" w:ascii="方正仿宋_GBK" w:hAnsi="方正仿宋_GBK" w:eastAsia="方正仿宋_GBK" w:cs="方正仿宋_GBK"/>
          <w:color w:val="auto"/>
          <w:sz w:val="32"/>
          <w:szCs w:val="32"/>
          <w:shd w:val="clear" w:color="auto" w:fill="FFFFFF"/>
        </w:rPr>
        <w:t>人员调进调出，人员经费及公用经费增加</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716.57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2023年度支出合计</w:t>
      </w:r>
      <w:r>
        <w:rPr>
          <w:rFonts w:ascii="方正仿宋_GBK" w:hAnsi="方正仿宋_GBK" w:eastAsia="方正仿宋_GBK" w:cs="方正仿宋_GBK"/>
          <w:color w:val="auto"/>
          <w:sz w:val="32"/>
          <w:szCs w:val="32"/>
        </w:rPr>
        <w:t>716.57</w:t>
      </w:r>
      <w:r>
        <w:rPr>
          <w:rFonts w:ascii="方正仿宋_GBK" w:hAnsi="方正仿宋_GBK" w:eastAsia="方正仿宋_GBK" w:cs="方正仿宋_GBK"/>
          <w:color w:val="auto"/>
          <w:sz w:val="32"/>
          <w:szCs w:val="32"/>
          <w:shd w:val="clear" w:color="auto" w:fill="FFFFFF"/>
        </w:rPr>
        <w:t>万元，较上年决算数增加15.48万元，增长2.21%，主要原因是</w:t>
      </w:r>
      <w:r>
        <w:rPr>
          <w:rFonts w:hint="eastAsia" w:ascii="方正仿宋_GBK" w:hAnsi="方正仿宋_GBK" w:eastAsia="方正仿宋_GBK" w:cs="方正仿宋_GBK"/>
          <w:color w:val="auto"/>
          <w:sz w:val="32"/>
          <w:szCs w:val="32"/>
          <w:shd w:val="clear" w:color="auto" w:fill="FFFFFF"/>
        </w:rPr>
        <w:t>人员调进调出，人员经费及公用经费增加</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655.71</w:t>
      </w:r>
      <w:r>
        <w:rPr>
          <w:rFonts w:ascii="方正仿宋_GBK" w:hAnsi="方正仿宋_GBK" w:eastAsia="方正仿宋_GBK" w:cs="方正仿宋_GBK"/>
          <w:color w:val="auto"/>
          <w:sz w:val="32"/>
          <w:szCs w:val="32"/>
          <w:shd w:val="clear" w:color="auto" w:fill="FFFFFF"/>
        </w:rPr>
        <w:t>万元，占91.51%；项目支出</w:t>
      </w:r>
      <w:r>
        <w:rPr>
          <w:rFonts w:ascii="方正仿宋_GBK" w:hAnsi="方正仿宋_GBK" w:eastAsia="方正仿宋_GBK" w:cs="方正仿宋_GBK"/>
          <w:color w:val="auto"/>
          <w:sz w:val="32"/>
          <w:szCs w:val="32"/>
        </w:rPr>
        <w:t>60.86</w:t>
      </w:r>
      <w:r>
        <w:rPr>
          <w:rFonts w:ascii="方正仿宋_GBK" w:hAnsi="方正仿宋_GBK" w:eastAsia="方正仿宋_GBK" w:cs="方正仿宋_GBK"/>
          <w:color w:val="auto"/>
          <w:sz w:val="32"/>
          <w:szCs w:val="32"/>
          <w:shd w:val="clear" w:color="auto" w:fill="FFFFFF"/>
        </w:rPr>
        <w:t>万元，占8.49%；经营支出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2023年度年末结转和结余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2023年度财政拨款收、支总计716.57万元。与2022年相比，财政拨款收、支总计各增加15.48万元，增长2.21%。主要原因是</w:t>
      </w:r>
      <w:r>
        <w:rPr>
          <w:rFonts w:hint="eastAsia" w:ascii="方正仿宋_GBK" w:hAnsi="方正仿宋_GBK" w:eastAsia="方正仿宋_GBK" w:cs="方正仿宋_GBK"/>
          <w:color w:val="auto"/>
          <w:sz w:val="32"/>
          <w:szCs w:val="32"/>
          <w:shd w:val="clear" w:color="auto" w:fill="FFFFFF"/>
        </w:rPr>
        <w:t>人员调进调出，人员经费及公用经费增加</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2023年度一般公共预算财政拨款收入</w:t>
      </w:r>
      <w:r>
        <w:rPr>
          <w:rFonts w:ascii="方正仿宋_GBK" w:hAnsi="方正仿宋_GBK" w:eastAsia="方正仿宋_GBK" w:cs="方正仿宋_GBK"/>
          <w:color w:val="auto"/>
          <w:sz w:val="32"/>
          <w:szCs w:val="32"/>
        </w:rPr>
        <w:t>716.57</w:t>
      </w:r>
      <w:r>
        <w:rPr>
          <w:rFonts w:ascii="方正仿宋_GBK" w:hAnsi="方正仿宋_GBK" w:eastAsia="方正仿宋_GBK" w:cs="方正仿宋_GBK"/>
          <w:color w:val="auto"/>
          <w:sz w:val="32"/>
          <w:szCs w:val="32"/>
          <w:shd w:val="clear" w:color="auto" w:fill="FFFFFF"/>
        </w:rPr>
        <w:t>万元，较上年决算数增加15.48万元，增长2.21%。主要原因是</w:t>
      </w:r>
      <w:r>
        <w:rPr>
          <w:rFonts w:hint="eastAsia" w:ascii="方正仿宋_GBK" w:hAnsi="方正仿宋_GBK" w:eastAsia="方正仿宋_GBK" w:cs="方正仿宋_GBK"/>
          <w:color w:val="auto"/>
          <w:sz w:val="32"/>
          <w:szCs w:val="32"/>
          <w:shd w:val="clear" w:color="auto" w:fill="FFFFFF"/>
        </w:rPr>
        <w:t>人员调进调出，人员经费及公用经费增加</w:t>
      </w:r>
      <w:r>
        <w:rPr>
          <w:rFonts w:ascii="方正仿宋_GBK" w:hAnsi="方正仿宋_GBK" w:eastAsia="方正仿宋_GBK" w:cs="方正仿宋_GBK"/>
          <w:color w:val="auto"/>
          <w:sz w:val="32"/>
          <w:szCs w:val="32"/>
          <w:shd w:val="clear" w:color="auto" w:fill="FFFFFF"/>
        </w:rPr>
        <w:t>。较年初预算数减少15.13万元，下降2.07%。主要原因是</w:t>
      </w:r>
      <w:r>
        <w:rPr>
          <w:rFonts w:hint="eastAsia" w:ascii="方正仿宋_GBK" w:hAnsi="方正仿宋_GBK" w:eastAsia="方正仿宋_GBK" w:cs="方正仿宋_GBK"/>
          <w:color w:val="auto"/>
          <w:sz w:val="32"/>
          <w:szCs w:val="32"/>
          <w:shd w:val="clear" w:color="auto" w:fill="FFFFFF"/>
        </w:rPr>
        <w:t>人员调进调出，人员经费及公用经费增加</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2023年度一般公共预算财政拨款支出</w:t>
      </w:r>
      <w:r>
        <w:rPr>
          <w:rFonts w:ascii="方正仿宋_GBK" w:hAnsi="方正仿宋_GBK" w:eastAsia="方正仿宋_GBK" w:cs="方正仿宋_GBK"/>
          <w:color w:val="auto"/>
          <w:sz w:val="32"/>
          <w:szCs w:val="32"/>
        </w:rPr>
        <w:t>716.57</w:t>
      </w:r>
      <w:r>
        <w:rPr>
          <w:rFonts w:ascii="方正仿宋_GBK" w:hAnsi="方正仿宋_GBK" w:eastAsia="方正仿宋_GBK" w:cs="方正仿宋_GBK"/>
          <w:color w:val="auto"/>
          <w:sz w:val="32"/>
          <w:szCs w:val="32"/>
          <w:shd w:val="clear" w:color="auto" w:fill="FFFFFF"/>
        </w:rPr>
        <w:t>万元，较上年决算数增加15.48万元，增长2.21%。主要原因是</w:t>
      </w:r>
      <w:r>
        <w:rPr>
          <w:rFonts w:hint="eastAsia" w:ascii="方正仿宋_GBK" w:hAnsi="方正仿宋_GBK" w:eastAsia="方正仿宋_GBK" w:cs="方正仿宋_GBK"/>
          <w:color w:val="auto"/>
          <w:sz w:val="32"/>
          <w:szCs w:val="32"/>
          <w:shd w:val="clear" w:color="auto" w:fill="FFFFFF"/>
        </w:rPr>
        <w:t>人员调进调出，人员经费及公用经费增加</w:t>
      </w:r>
      <w:r>
        <w:rPr>
          <w:rFonts w:ascii="方正仿宋_GBK" w:hAnsi="方正仿宋_GBK" w:eastAsia="方正仿宋_GBK" w:cs="方正仿宋_GBK"/>
          <w:color w:val="auto"/>
          <w:sz w:val="32"/>
          <w:szCs w:val="32"/>
          <w:shd w:val="clear" w:color="auto" w:fill="FFFFFF"/>
        </w:rPr>
        <w:t>。较年初预算数减少15.13万元，下降2.07%。</w:t>
      </w:r>
      <w:r>
        <w:rPr>
          <w:rFonts w:hint="eastAsia" w:ascii="方正仿宋_GBK" w:hAnsi="方正仿宋_GBK" w:eastAsia="方正仿宋_GBK" w:cs="方正仿宋_GBK"/>
          <w:color w:val="auto"/>
          <w:sz w:val="32"/>
          <w:szCs w:val="32"/>
          <w:shd w:val="clear" w:color="auto" w:fill="FFFFFF"/>
        </w:rPr>
        <w:t>主要原因是严格执行中央过紧日子的要求，压减一般性支出</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2023年度年末一般公共预算财政拨款结转和结余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本单位2023年度一般公共预算财政拨款支出主要用于以下几个方面：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550.96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76.89</w:t>
      </w:r>
      <w:r>
        <w:rPr>
          <w:rFonts w:ascii="方正仿宋_GBK" w:hAnsi="方正仿宋_GBK" w:eastAsia="方正仿宋_GBK" w:cs="方正仿宋_GBK"/>
          <w:color w:val="auto"/>
          <w:sz w:val="32"/>
          <w:szCs w:val="32"/>
          <w:shd w:val="clear" w:color="auto" w:fill="FFFFFF"/>
        </w:rPr>
        <w:t>%，较年初预算数增加2.52万元，增长0.46%，主要原因是</w:t>
      </w:r>
      <w:r>
        <w:rPr>
          <w:rFonts w:hint="eastAsia" w:ascii="方正仿宋_GBK" w:hAnsi="方正仿宋_GBK" w:eastAsia="方正仿宋_GBK" w:cs="方正仿宋_GBK"/>
          <w:color w:val="auto"/>
          <w:sz w:val="32"/>
          <w:szCs w:val="32"/>
          <w:shd w:val="clear" w:color="auto" w:fill="FFFFFF"/>
          <w:lang w:val="en-US" w:eastAsia="zh-CN"/>
        </w:rPr>
        <w:t>项目支出增加</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93.45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13.04</w:t>
      </w:r>
      <w:r>
        <w:rPr>
          <w:rFonts w:ascii="方正仿宋_GBK" w:hAnsi="方正仿宋_GBK" w:eastAsia="方正仿宋_GBK" w:cs="方正仿宋_GBK"/>
          <w:color w:val="auto"/>
          <w:sz w:val="32"/>
          <w:szCs w:val="32"/>
          <w:shd w:val="clear" w:color="auto" w:fill="FFFFFF"/>
        </w:rPr>
        <w:t>%，较年初预算数减少11.64万元，下降11.08%，主要原因是</w:t>
      </w:r>
      <w:r>
        <w:rPr>
          <w:rFonts w:hint="eastAsia" w:ascii="方正仿宋_GBK" w:hAnsi="方正仿宋_GBK" w:eastAsia="方正仿宋_GBK" w:cs="方正仿宋_GBK"/>
          <w:color w:val="auto"/>
          <w:sz w:val="32"/>
          <w:szCs w:val="32"/>
          <w:shd w:val="clear" w:color="auto" w:fill="FFFFFF"/>
        </w:rPr>
        <w:t>人员调进调出</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28.84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4.02</w:t>
      </w:r>
      <w:r>
        <w:rPr>
          <w:rFonts w:ascii="方正仿宋_GBK" w:hAnsi="方正仿宋_GBK" w:eastAsia="方正仿宋_GBK" w:cs="方正仿宋_GBK"/>
          <w:color w:val="auto"/>
          <w:sz w:val="32"/>
          <w:szCs w:val="32"/>
          <w:shd w:val="clear" w:color="auto" w:fill="FFFFFF"/>
        </w:rPr>
        <w:t>%，较年初预算数减少0.96万元，下降3.22%，主要原因是</w:t>
      </w:r>
      <w:r>
        <w:rPr>
          <w:rFonts w:hint="eastAsia" w:ascii="方正仿宋_GBK" w:hAnsi="方正仿宋_GBK" w:eastAsia="方正仿宋_GBK" w:cs="方正仿宋_GBK"/>
          <w:color w:val="auto"/>
          <w:sz w:val="32"/>
          <w:szCs w:val="32"/>
          <w:shd w:val="clear" w:color="auto" w:fill="FFFFFF"/>
        </w:rPr>
        <w:t>人员调进调出</w:t>
      </w:r>
      <w:r>
        <w:rPr>
          <w:rFonts w:ascii="方正仿宋_GBK" w:hAnsi="方正仿宋_GBK" w:eastAsia="方正仿宋_GBK" w:cs="方正仿宋_GBK"/>
          <w:color w:val="auto"/>
          <w:sz w:val="32"/>
          <w:szCs w:val="32"/>
          <w:shd w:val="clear" w:color="auto" w:fill="FFFFFF"/>
        </w:rPr>
        <w:t>。</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住房保障支出43.33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6.05</w:t>
      </w:r>
      <w:r>
        <w:rPr>
          <w:rFonts w:ascii="方正仿宋_GBK" w:hAnsi="方正仿宋_GBK" w:eastAsia="方正仿宋_GBK" w:cs="方正仿宋_GBK"/>
          <w:color w:val="auto"/>
          <w:sz w:val="32"/>
          <w:szCs w:val="32"/>
          <w:shd w:val="clear" w:color="auto" w:fill="FFFFFF"/>
        </w:rPr>
        <w:t>%，较年初预算数减少5.04万元，下降10.42%，主要原因是</w:t>
      </w:r>
      <w:r>
        <w:rPr>
          <w:rFonts w:hint="eastAsia" w:ascii="方正仿宋_GBK" w:hAnsi="方正仿宋_GBK" w:eastAsia="方正仿宋_GBK" w:cs="方正仿宋_GBK"/>
          <w:color w:val="auto"/>
          <w:sz w:val="32"/>
          <w:szCs w:val="32"/>
          <w:shd w:val="clear" w:color="auto" w:fill="FFFFFF"/>
        </w:rPr>
        <w:t>人员调进调出。</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2023年度一般公共财政拨款基本支出</w:t>
      </w:r>
      <w:r>
        <w:rPr>
          <w:rFonts w:ascii="方正仿宋_GBK" w:hAnsi="方正仿宋_GBK" w:eastAsia="方正仿宋_GBK" w:cs="方正仿宋_GBK"/>
          <w:color w:val="auto"/>
          <w:sz w:val="32"/>
          <w:szCs w:val="32"/>
        </w:rPr>
        <w:t>655.71</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592.51</w:t>
      </w:r>
      <w:r>
        <w:rPr>
          <w:rFonts w:ascii="方正仿宋_GBK" w:hAnsi="方正仿宋_GBK" w:eastAsia="方正仿宋_GBK" w:cs="方正仿宋_GBK"/>
          <w:color w:val="auto"/>
          <w:sz w:val="32"/>
          <w:szCs w:val="32"/>
          <w:shd w:val="clear" w:color="auto" w:fill="FFFFFF"/>
        </w:rPr>
        <w:t>万元，较上年决算数增加11.07万元，增长1.90%，主要原因是</w:t>
      </w:r>
      <w:r>
        <w:rPr>
          <w:rFonts w:hint="eastAsia" w:ascii="方正仿宋_GBK" w:hAnsi="方正仿宋_GBK" w:eastAsia="方正仿宋_GBK" w:cs="方正仿宋_GBK"/>
          <w:color w:val="auto"/>
          <w:sz w:val="32"/>
          <w:szCs w:val="32"/>
          <w:shd w:val="clear" w:color="auto" w:fill="FFFFFF"/>
        </w:rPr>
        <w:t>人员调进调出</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基本工资、津贴补贴、奖金、社会保障缴费等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63.20</w:t>
      </w:r>
      <w:r>
        <w:rPr>
          <w:rFonts w:ascii="方正仿宋_GBK" w:hAnsi="方正仿宋_GBK" w:eastAsia="方正仿宋_GBK" w:cs="方正仿宋_GBK"/>
          <w:color w:val="auto"/>
          <w:sz w:val="32"/>
          <w:szCs w:val="32"/>
          <w:shd w:val="clear" w:color="auto" w:fill="FFFFFF"/>
        </w:rPr>
        <w:t>万元，较上年决算数减少8.95万元，下降12.40%，主要原因是</w:t>
      </w:r>
      <w:r>
        <w:rPr>
          <w:rFonts w:hint="eastAsia" w:ascii="方正仿宋_GBK" w:hAnsi="方正仿宋_GBK" w:eastAsia="方正仿宋_GBK" w:cs="方正仿宋_GBK"/>
          <w:color w:val="auto"/>
          <w:sz w:val="32"/>
          <w:szCs w:val="32"/>
          <w:shd w:val="clear" w:color="auto" w:fill="FFFFFF"/>
          <w:lang w:val="en-US" w:eastAsia="zh-CN"/>
        </w:rPr>
        <w:t>部分费用转到项目经费中开支</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办公费、水费、邮电费、维修（护）费</w:t>
      </w:r>
      <w:r>
        <w:rPr>
          <w:rFonts w:hint="eastAsia" w:ascii="方正仿宋_GBK" w:hAnsi="方正仿宋_GBK" w:eastAsia="方正仿宋_GBK" w:cs="方正仿宋_GBK"/>
          <w:color w:val="auto"/>
          <w:sz w:val="32"/>
          <w:szCs w:val="32"/>
          <w:shd w:val="clear" w:color="auto" w:fill="FFFFFF"/>
          <w:lang w:eastAsia="zh-CN"/>
        </w:rPr>
        <w:t>、劳务费、</w:t>
      </w:r>
      <w:r>
        <w:rPr>
          <w:rFonts w:hint="eastAsia" w:ascii="方正仿宋_GBK" w:hAnsi="方正仿宋_GBK" w:eastAsia="方正仿宋_GBK" w:cs="方正仿宋_GBK"/>
          <w:color w:val="auto"/>
          <w:sz w:val="32"/>
          <w:szCs w:val="32"/>
          <w:shd w:val="clear" w:color="auto" w:fill="FFFFFF"/>
        </w:rPr>
        <w:t>其他交通费、公车运行维护费、培训费、会议费等</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本单位2023年度无政府性基金预算财政拨款收支。</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本单位2023年度无国有资本经营预算财政拨款支出。</w:t>
      </w:r>
    </w:p>
    <w:p>
      <w:pPr>
        <w:pStyle w:val="6"/>
        <w:shd w:val="clear" w:color="auto" w:fill="FFFFFF"/>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三、“三公”经费情况说明</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2023年度“三公”经费支出共计</w:t>
      </w:r>
      <w:r>
        <w:rPr>
          <w:rFonts w:ascii="方正仿宋_GBK" w:hAnsi="方正仿宋_GBK" w:eastAsia="方正仿宋_GBK" w:cs="方正仿宋_GBK"/>
          <w:color w:val="auto"/>
          <w:sz w:val="32"/>
          <w:szCs w:val="32"/>
        </w:rPr>
        <w:t>4.03</w:t>
      </w:r>
      <w:r>
        <w:rPr>
          <w:rFonts w:ascii="方正仿宋_GBK" w:hAnsi="方正仿宋_GBK" w:eastAsia="方正仿宋_GBK" w:cs="方正仿宋_GBK"/>
          <w:color w:val="auto"/>
          <w:sz w:val="32"/>
          <w:szCs w:val="32"/>
          <w:shd w:val="clear" w:color="auto" w:fill="FFFFFF"/>
        </w:rPr>
        <w:t>万元，较年初预算数减少1.97万元，下降32.83%，主要原因是</w:t>
      </w:r>
      <w:r>
        <w:rPr>
          <w:rFonts w:hint="eastAsia" w:ascii="方正仿宋_GBK" w:hAnsi="方正仿宋_GBK" w:eastAsia="方正仿宋_GBK" w:cs="方正仿宋_GBK"/>
          <w:color w:val="auto"/>
          <w:sz w:val="32"/>
          <w:szCs w:val="32"/>
          <w:shd w:val="clear" w:color="auto" w:fill="FFFFFF"/>
        </w:rPr>
        <w:t>严格执行中央八项规定精神，控制三公费用</w:t>
      </w:r>
      <w:r>
        <w:rPr>
          <w:rFonts w:ascii="方正仿宋_GBK" w:hAnsi="方正仿宋_GBK" w:eastAsia="方正仿宋_GBK" w:cs="方正仿宋_GBK"/>
          <w:color w:val="auto"/>
          <w:sz w:val="32"/>
          <w:szCs w:val="32"/>
          <w:shd w:val="clear" w:color="auto" w:fill="FFFFFF"/>
        </w:rPr>
        <w:t>。较上年支出数增加4.03万元，增长100.00%，主要原因是</w:t>
      </w:r>
      <w:r>
        <w:rPr>
          <w:rFonts w:hint="eastAsia" w:ascii="方正仿宋_GBK" w:hAnsi="方正仿宋_GBK" w:eastAsia="方正仿宋_GBK" w:cs="方正仿宋_GBK"/>
          <w:color w:val="auto"/>
          <w:sz w:val="32"/>
          <w:szCs w:val="32"/>
          <w:shd w:val="clear" w:color="auto" w:fill="FFFFFF"/>
        </w:rPr>
        <w:t>2022年受疫情影响，无“三公”经费支出</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2023年度本单位因公出国（境）费用0.00万元，主要是用于因公务原因产生的国际旅费、国外城市间交通费、住宿费、伙食费和其他费用。费用支出较年初预算数无增减。较上年支出数无增减，主要原因是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本单位2023年度</w:t>
      </w:r>
      <w:r>
        <w:rPr>
          <w:rFonts w:hint="eastAsia" w:ascii="方正仿宋_GBK" w:hAnsi="方正仿宋_GBK" w:eastAsia="方正仿宋_GBK" w:cs="方正仿宋_GBK"/>
          <w:color w:val="auto"/>
          <w:sz w:val="32"/>
          <w:szCs w:val="32"/>
          <w:shd w:val="clear" w:color="auto" w:fill="FFFFFF"/>
        </w:rPr>
        <w:t>未安排因公出国（境）。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公务车购置费0.00万元，主要用于公务用车购置价款、车辆购置税和其他相关支出。费用支出较年初预算数无增减。较上年支出数无增减，主要原因是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本单位2023年度</w:t>
      </w:r>
      <w:r>
        <w:rPr>
          <w:rFonts w:hint="eastAsia" w:ascii="方正仿宋_GBK" w:hAnsi="方正仿宋_GBK" w:eastAsia="方正仿宋_GBK" w:cs="方正仿宋_GBK"/>
          <w:color w:val="auto"/>
          <w:sz w:val="32"/>
          <w:szCs w:val="32"/>
          <w:shd w:val="clear" w:color="auto" w:fill="FFFFFF"/>
        </w:rPr>
        <w:t>未安排公务车购置费。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4.03</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机要文件交换、市内因公出行、各项业务检查等工作所需车辆的燃料费、维修费、过桥过路费、保险费等</w:t>
      </w:r>
      <w:r>
        <w:rPr>
          <w:rFonts w:ascii="方正仿宋_GBK" w:hAnsi="方正仿宋_GBK" w:eastAsia="方正仿宋_GBK" w:cs="方正仿宋_GBK"/>
          <w:color w:val="auto"/>
          <w:sz w:val="32"/>
          <w:szCs w:val="32"/>
          <w:shd w:val="clear" w:color="auto" w:fill="FFFFFF"/>
        </w:rPr>
        <w:t>。费用支出较年初预算数减少1.97万元，下降32.83%，主要原因是</w:t>
      </w:r>
      <w:r>
        <w:rPr>
          <w:rFonts w:hint="eastAsia" w:ascii="方正仿宋_GBK" w:hAnsi="方正仿宋_GBK" w:eastAsia="方正仿宋_GBK" w:cs="方正仿宋_GBK"/>
          <w:color w:val="auto"/>
          <w:sz w:val="32"/>
          <w:szCs w:val="32"/>
          <w:shd w:val="clear" w:color="auto" w:fill="FFFFFF"/>
        </w:rPr>
        <w:t>严格执行中央八项规定精神，控制三公费用</w:t>
      </w:r>
      <w:r>
        <w:rPr>
          <w:rFonts w:ascii="方正仿宋_GBK" w:hAnsi="方正仿宋_GBK" w:eastAsia="方正仿宋_GBK" w:cs="方正仿宋_GBK"/>
          <w:color w:val="auto"/>
          <w:sz w:val="32"/>
          <w:szCs w:val="32"/>
          <w:shd w:val="clear" w:color="auto" w:fill="FFFFFF"/>
        </w:rPr>
        <w:t>。较上年支出数增加4.03万元，增长100.00%，主要原因是</w:t>
      </w:r>
      <w:r>
        <w:rPr>
          <w:rFonts w:hint="eastAsia" w:ascii="方正仿宋_GBK" w:hAnsi="方正仿宋_GBK" w:eastAsia="方正仿宋_GBK" w:cs="方正仿宋_GBK"/>
          <w:color w:val="auto"/>
          <w:sz w:val="32"/>
          <w:szCs w:val="32"/>
          <w:shd w:val="clear" w:color="auto" w:fill="FFFFFF"/>
        </w:rPr>
        <w:t>2022年受疫情影响，无“三公”</w:t>
      </w:r>
      <w:bookmarkStart w:id="0" w:name="_GoBack"/>
      <w:bookmarkEnd w:id="0"/>
      <w:r>
        <w:rPr>
          <w:rFonts w:hint="eastAsia" w:ascii="方正仿宋_GBK" w:hAnsi="方正仿宋_GBK" w:eastAsia="方正仿宋_GBK" w:cs="方正仿宋_GBK"/>
          <w:color w:val="auto"/>
          <w:sz w:val="32"/>
          <w:szCs w:val="32"/>
          <w:shd w:val="clear" w:color="auto" w:fill="FFFFFF"/>
        </w:rPr>
        <w:t>经费支出</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公务接待费0.00万元，主要用于接待国内其他省、市、区、县单位到我部学习、考察、调研等工作，接受相关部门检查指导督导工作发生的接待支出。费用支出较年初预算数无增减。较上年支出数无增减</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人。2023年本单位人均接待费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4.03</w:t>
      </w:r>
      <w:r>
        <w:rPr>
          <w:rFonts w:ascii="方正仿宋_GBK" w:hAnsi="方正仿宋_GBK" w:eastAsia="方正仿宋_GBK" w:cs="方正仿宋_GBK"/>
          <w:color w:val="auto"/>
          <w:sz w:val="32"/>
          <w:szCs w:val="32"/>
          <w:shd w:val="clear" w:color="auto" w:fill="FFFFFF"/>
        </w:rPr>
        <w:t>万元。</w:t>
      </w:r>
    </w:p>
    <w:p>
      <w:pPr>
        <w:pStyle w:val="6"/>
        <w:shd w:val="clear" w:color="auto" w:fill="FFFFFF"/>
        <w:rPr>
          <w:rStyle w:val="10"/>
          <w:rFonts w:hint="default" w:ascii="方正仿宋_GBK" w:hAnsi="方正仿宋_GBK" w:eastAsia="方正仿宋_GBK" w:cs="方正仿宋_GBK"/>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0.30</w:t>
      </w:r>
      <w:r>
        <w:rPr>
          <w:rFonts w:ascii="方正仿宋_GBK" w:hAnsi="方正仿宋_GBK" w:eastAsia="方正仿宋_GBK" w:cs="方正仿宋_GBK"/>
          <w:color w:val="auto"/>
          <w:sz w:val="32"/>
          <w:szCs w:val="32"/>
          <w:shd w:val="clear" w:color="auto" w:fill="FFFFFF"/>
        </w:rPr>
        <w:t>万元，较上年决算数增加0.30万元，增长100.00%，主要原因是</w:t>
      </w:r>
      <w:r>
        <w:rPr>
          <w:rFonts w:hint="eastAsia" w:ascii="方正仿宋_GBK" w:hAnsi="方正仿宋_GBK" w:eastAsia="方正仿宋_GBK" w:cs="方正仿宋_GBK"/>
          <w:color w:val="auto"/>
          <w:sz w:val="32"/>
          <w:szCs w:val="32"/>
          <w:shd w:val="clear" w:color="auto" w:fill="FFFFFF"/>
        </w:rPr>
        <w:t>2022年无会议费支出</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0.85</w:t>
      </w:r>
      <w:r>
        <w:rPr>
          <w:rFonts w:ascii="方正仿宋_GBK" w:hAnsi="方正仿宋_GBK" w:eastAsia="方正仿宋_GBK" w:cs="方正仿宋_GBK"/>
          <w:color w:val="auto"/>
          <w:sz w:val="32"/>
          <w:szCs w:val="32"/>
          <w:shd w:val="clear" w:color="auto" w:fill="FFFFFF"/>
        </w:rPr>
        <w:t>万元，较上年决算数增加0.60万元，增长240.00%，主要原因是</w:t>
      </w:r>
      <w:r>
        <w:rPr>
          <w:rFonts w:hint="eastAsia" w:ascii="方正仿宋_GBK" w:hAnsi="方正仿宋_GBK" w:eastAsia="方正仿宋_GBK" w:cs="方正仿宋_GBK"/>
          <w:color w:val="auto"/>
          <w:sz w:val="32"/>
          <w:szCs w:val="32"/>
          <w:shd w:val="clear" w:color="auto" w:fill="FFFFFF"/>
        </w:rPr>
        <w:t>22年</w:t>
      </w:r>
      <w:r>
        <w:rPr>
          <w:rFonts w:hint="eastAsia" w:ascii="方正仿宋_GBK" w:hAnsi="方正仿宋_GBK" w:eastAsia="方正仿宋_GBK" w:cs="方正仿宋_GBK"/>
          <w:color w:val="auto"/>
          <w:sz w:val="32"/>
          <w:szCs w:val="32"/>
          <w:shd w:val="clear" w:color="auto" w:fill="FFFFFF"/>
          <w:lang w:val="en-US" w:eastAsia="zh-CN"/>
        </w:rPr>
        <w:t>国库集中支付</w:t>
      </w:r>
      <w:r>
        <w:rPr>
          <w:rFonts w:hint="eastAsia" w:ascii="方正仿宋_GBK" w:hAnsi="方正仿宋_GBK" w:eastAsia="方正仿宋_GBK" w:cs="方正仿宋_GBK"/>
          <w:color w:val="auto"/>
          <w:sz w:val="32"/>
          <w:szCs w:val="32"/>
          <w:shd w:val="clear" w:color="auto" w:fill="FFFFFF"/>
        </w:rPr>
        <w:t>中心和财政局合并办公，</w:t>
      </w:r>
      <w:r>
        <w:rPr>
          <w:rFonts w:hint="eastAsia" w:ascii="方正仿宋_GBK" w:hAnsi="方正仿宋_GBK" w:eastAsia="方正仿宋_GBK" w:cs="方正仿宋_GBK"/>
          <w:color w:val="auto"/>
          <w:sz w:val="32"/>
          <w:szCs w:val="32"/>
          <w:shd w:val="clear" w:color="auto" w:fill="FFFFFF"/>
          <w:lang w:val="en-US" w:eastAsia="zh-CN"/>
        </w:rPr>
        <w:t>部分</w:t>
      </w:r>
      <w:r>
        <w:rPr>
          <w:rFonts w:hint="eastAsia" w:ascii="方正仿宋_GBK" w:hAnsi="方正仿宋_GBK" w:eastAsia="方正仿宋_GBK" w:cs="方正仿宋_GBK"/>
          <w:color w:val="auto"/>
          <w:sz w:val="32"/>
          <w:szCs w:val="32"/>
          <w:shd w:val="clear" w:color="auto" w:fill="FFFFFF"/>
        </w:rPr>
        <w:t>培训费在财政局（本级）支出</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2023年度本单位机关运行经费支出</w:t>
      </w:r>
      <w:r>
        <w:rPr>
          <w:rFonts w:ascii="方正仿宋_GBK" w:hAnsi="方正仿宋_GBK" w:eastAsia="方正仿宋_GBK" w:cs="方正仿宋_GBK"/>
          <w:color w:val="auto"/>
          <w:sz w:val="32"/>
          <w:szCs w:val="32"/>
        </w:rPr>
        <w:t>63.20</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rPr>
        <w:t>办公费、水费、邮电费、维修（护）费、劳务费、其他交通费、公车运行维护费、培训费、会议费</w:t>
      </w:r>
      <w:r>
        <w:rPr>
          <w:rFonts w:hint="eastAsia" w:ascii="方正仿宋_GBK" w:hAnsi="方正仿宋_GBK" w:eastAsia="方正仿宋_GBK" w:cs="方正仿宋_GBK"/>
          <w:color w:val="auto"/>
          <w:sz w:val="32"/>
          <w:szCs w:val="32"/>
          <w:shd w:val="clear" w:color="auto" w:fill="FFFFFF"/>
          <w:lang w:val="en-US" w:eastAsia="zh-CN"/>
        </w:rPr>
        <w:t>等</w:t>
      </w:r>
      <w:r>
        <w:rPr>
          <w:rFonts w:ascii="方正仿宋_GBK" w:hAnsi="方正仿宋_GBK" w:eastAsia="方正仿宋_GBK" w:cs="方正仿宋_GBK"/>
          <w:color w:val="auto"/>
          <w:sz w:val="32"/>
          <w:szCs w:val="32"/>
          <w:shd w:val="clear" w:color="auto" w:fill="FFFFFF"/>
        </w:rPr>
        <w:t>。机关运行经费较上年支出数减少8.95万元，下降12.40%，主要原因是</w:t>
      </w:r>
      <w:r>
        <w:rPr>
          <w:rFonts w:hint="eastAsia" w:ascii="方正仿宋_GBK" w:hAnsi="方正仿宋_GBK" w:eastAsia="方正仿宋_GBK" w:cs="方正仿宋_GBK"/>
          <w:color w:val="auto"/>
          <w:sz w:val="32"/>
          <w:szCs w:val="32"/>
          <w:shd w:val="clear" w:color="auto" w:fill="FFFFFF"/>
        </w:rPr>
        <w:t>严格执行中央过紧日子的要求，压减一般性支出</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截至2023年12月31日，本单位共有车辆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6"/>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2023年度我单位未发生政府采购事项</w:t>
      </w:r>
      <w:r>
        <w:rPr>
          <w:rFonts w:hint="eastAsia" w:ascii="方正仿宋_GBK" w:hAnsi="方正仿宋_GBK" w:eastAsia="方正仿宋_GBK" w:cs="方正仿宋_GBK"/>
          <w:sz w:val="32"/>
          <w:szCs w:val="32"/>
          <w:shd w:val="clear" w:color="auto" w:fill="FFFFFF"/>
        </w:rPr>
        <w:t>，无相关经费支出。</w:t>
      </w:r>
    </w:p>
    <w:p>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6"/>
        <w:tabs>
          <w:tab w:val="center" w:pos="4153"/>
          <w:tab w:val="left" w:pos="7275"/>
        </w:tabs>
        <w:spacing w:line="596" w:lineRule="exact"/>
        <w:ind w:firstLine="643"/>
        <w:rPr>
          <w:rFonts w:hint="eastAsia" w:ascii="方正仿宋_GBK" w:hAnsi="宋体" w:eastAsia="方正仿宋_GBK" w:cs="宋体"/>
          <w:kern w:val="0"/>
          <w:sz w:val="32"/>
          <w:szCs w:val="32"/>
          <w:lang w:eastAsia="zh-CN"/>
        </w:rPr>
      </w:pPr>
      <w:r>
        <w:rPr>
          <w:rFonts w:hint="eastAsia" w:ascii="方正仿宋_GBK" w:hAnsi="宋体" w:eastAsia="方正仿宋_GBK" w:cs="宋体"/>
          <w:b/>
          <w:kern w:val="0"/>
          <w:sz w:val="32"/>
          <w:szCs w:val="32"/>
        </w:rPr>
        <w:t>（一）单位自评情况</w:t>
      </w:r>
    </w:p>
    <w:p>
      <w:pPr>
        <w:pStyle w:val="16"/>
        <w:tabs>
          <w:tab w:val="center" w:pos="4153"/>
          <w:tab w:val="left" w:pos="7275"/>
        </w:tabs>
        <w:spacing w:line="596" w:lineRule="exact"/>
        <w:ind w:firstLine="640"/>
        <w:rPr>
          <w:rFonts w:hint="default"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eastAsia="zh-CN"/>
        </w:rPr>
        <w:t>根据预算绩效管理要求，我单位对</w:t>
      </w:r>
      <w:r>
        <w:rPr>
          <w:rFonts w:hint="eastAsia" w:ascii="方正仿宋_GBK" w:eastAsia="方正仿宋_GBK" w:cs="宋体"/>
          <w:kern w:val="0"/>
          <w:sz w:val="32"/>
          <w:szCs w:val="32"/>
          <w:lang w:val="en-US" w:eastAsia="zh-CN"/>
        </w:rPr>
        <w:t>0</w:t>
      </w:r>
      <w:r>
        <w:rPr>
          <w:rFonts w:hint="eastAsia" w:ascii="方正仿宋_GBK" w:hAnsi="宋体" w:eastAsia="方正仿宋_GBK" w:cs="宋体"/>
          <w:kern w:val="0"/>
          <w:sz w:val="32"/>
          <w:szCs w:val="32"/>
        </w:rPr>
        <w:t>个</w:t>
      </w:r>
      <w:r>
        <w:rPr>
          <w:rFonts w:hint="eastAsia" w:ascii="方正仿宋_GBK" w:hAnsi="宋体" w:eastAsia="方正仿宋_GBK" w:cs="宋体"/>
          <w:kern w:val="0"/>
          <w:sz w:val="32"/>
          <w:szCs w:val="32"/>
          <w:lang w:eastAsia="zh-CN"/>
        </w:rPr>
        <w:t>重点专项</w:t>
      </w:r>
      <w:r>
        <w:rPr>
          <w:rFonts w:hint="eastAsia" w:ascii="方正仿宋_GBK" w:hAnsi="宋体" w:eastAsia="方正仿宋_GBK" w:cs="宋体"/>
          <w:kern w:val="0"/>
          <w:sz w:val="32"/>
          <w:szCs w:val="32"/>
        </w:rPr>
        <w:t>项目</w:t>
      </w:r>
      <w:r>
        <w:rPr>
          <w:rFonts w:hint="eastAsia" w:ascii="方正仿宋_GBK" w:hAnsi="宋体" w:eastAsia="方正仿宋_GBK" w:cs="宋体"/>
          <w:kern w:val="0"/>
          <w:sz w:val="32"/>
          <w:szCs w:val="32"/>
          <w:lang w:eastAsia="zh-CN"/>
        </w:rPr>
        <w:t>、</w:t>
      </w:r>
      <w:r>
        <w:rPr>
          <w:rFonts w:hint="eastAsia" w:ascii="方正仿宋_GBK" w:eastAsia="方正仿宋_GBK" w:cs="宋体"/>
          <w:kern w:val="0"/>
          <w:sz w:val="32"/>
          <w:szCs w:val="32"/>
          <w:lang w:val="en-US" w:eastAsia="zh-CN"/>
        </w:rPr>
        <w:t>4</w:t>
      </w:r>
      <w:r>
        <w:rPr>
          <w:rFonts w:hint="eastAsia" w:ascii="方正仿宋_GBK" w:hAnsi="宋体" w:eastAsia="方正仿宋_GBK" w:cs="宋体"/>
          <w:kern w:val="0"/>
          <w:sz w:val="32"/>
          <w:szCs w:val="32"/>
          <w:lang w:val="en-US" w:eastAsia="zh-CN"/>
        </w:rPr>
        <w:t>个一般性项目开展了绩效自评，涉及财政拨款项目支出60.86万元。</w:t>
      </w:r>
    </w:p>
    <w:p>
      <w:pPr>
        <w:pStyle w:val="16"/>
        <w:tabs>
          <w:tab w:val="center" w:pos="4153"/>
          <w:tab w:val="left" w:pos="7275"/>
        </w:tabs>
        <w:spacing w:line="596" w:lineRule="exact"/>
        <w:ind w:firstLine="643"/>
        <w:rPr>
          <w:rFonts w:hint="eastAsia" w:ascii="方正仿宋_GBK" w:hAnsi="宋体" w:eastAsia="方正仿宋_GBK" w:cs="宋体"/>
          <w:kern w:val="0"/>
          <w:sz w:val="32"/>
          <w:szCs w:val="32"/>
          <w:lang w:eastAsia="zh-CN"/>
        </w:rPr>
      </w:pPr>
      <w:r>
        <w:rPr>
          <w:rFonts w:hint="eastAsia" w:ascii="方正仿宋_GBK" w:hAnsi="宋体" w:eastAsia="方正仿宋_GBK" w:cs="宋体"/>
          <w:b/>
          <w:kern w:val="0"/>
          <w:sz w:val="32"/>
          <w:szCs w:val="32"/>
        </w:rPr>
        <w:t>（</w:t>
      </w:r>
      <w:r>
        <w:rPr>
          <w:rFonts w:hint="eastAsia" w:ascii="方正仿宋_GBK" w:hAnsi="宋体" w:eastAsia="方正仿宋_GBK" w:cs="宋体"/>
          <w:b/>
          <w:kern w:val="0"/>
          <w:sz w:val="32"/>
          <w:szCs w:val="32"/>
          <w:lang w:eastAsia="zh-CN"/>
        </w:rPr>
        <w:t>二</w:t>
      </w:r>
      <w:r>
        <w:rPr>
          <w:rFonts w:hint="eastAsia" w:ascii="方正仿宋_GBK" w:hAnsi="宋体" w:eastAsia="方正仿宋_GBK" w:cs="宋体"/>
          <w:b/>
          <w:kern w:val="0"/>
          <w:sz w:val="32"/>
          <w:szCs w:val="32"/>
        </w:rPr>
        <w:t>）</w:t>
      </w:r>
      <w:r>
        <w:rPr>
          <w:rFonts w:hint="eastAsia" w:ascii="方正仿宋_GBK" w:hAnsi="宋体" w:eastAsia="方正仿宋_GBK" w:cs="宋体"/>
          <w:b/>
          <w:kern w:val="0"/>
          <w:sz w:val="32"/>
          <w:szCs w:val="32"/>
          <w:lang w:eastAsia="zh-CN"/>
        </w:rPr>
        <w:t>绩效自评结果</w:t>
      </w:r>
    </w:p>
    <w:tbl>
      <w:tblPr>
        <w:tblStyle w:val="7"/>
        <w:tblW w:w="8355" w:type="dxa"/>
        <w:tblInd w:w="93" w:type="dxa"/>
        <w:tblLayout w:type="fixed"/>
        <w:tblCellMar>
          <w:top w:w="0" w:type="dxa"/>
          <w:left w:w="108" w:type="dxa"/>
          <w:bottom w:w="0" w:type="dxa"/>
          <w:right w:w="108" w:type="dxa"/>
        </w:tblCellMar>
      </w:tblPr>
      <w:tblGrid>
        <w:gridCol w:w="600"/>
        <w:gridCol w:w="750"/>
        <w:gridCol w:w="918"/>
        <w:gridCol w:w="900"/>
        <w:gridCol w:w="735"/>
        <w:gridCol w:w="720"/>
        <w:gridCol w:w="705"/>
        <w:gridCol w:w="960"/>
        <w:gridCol w:w="690"/>
        <w:gridCol w:w="597"/>
        <w:gridCol w:w="780"/>
      </w:tblGrid>
      <w:tr>
        <w:tblPrEx>
          <w:tblLayout w:type="fixed"/>
          <w:tblCellMar>
            <w:top w:w="0" w:type="dxa"/>
            <w:left w:w="108" w:type="dxa"/>
            <w:bottom w:w="0" w:type="dxa"/>
            <w:right w:w="108" w:type="dxa"/>
          </w:tblCellMar>
        </w:tblPrEx>
        <w:trPr>
          <w:trHeight w:val="780" w:hRule="atLeast"/>
        </w:trPr>
        <w:tc>
          <w:tcPr>
            <w:tcW w:w="8355" w:type="dxa"/>
            <w:gridSpan w:val="11"/>
            <w:tcBorders>
              <w:top w:val="nil"/>
              <w:left w:val="nil"/>
              <w:bottom w:val="single" w:color="000000" w:sz="4" w:space="0"/>
              <w:right w:val="nil"/>
            </w:tcBorders>
            <w:noWrap/>
            <w:vAlign w:val="center"/>
          </w:tcPr>
          <w:p>
            <w:pPr>
              <w:widowControl/>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lang w:bidi="ar"/>
              </w:rPr>
              <w:t>202</w:t>
            </w:r>
            <w:r>
              <w:rPr>
                <w:rFonts w:hint="eastAsia" w:ascii="方正小标宋_GBK" w:hAnsi="方正小标宋_GBK" w:eastAsia="方正小标宋_GBK" w:cs="方正小标宋_GBK"/>
                <w:color w:val="000000"/>
                <w:kern w:val="0"/>
                <w:sz w:val="36"/>
                <w:szCs w:val="36"/>
                <w:lang w:val="en-US" w:eastAsia="zh-CN" w:bidi="ar"/>
              </w:rPr>
              <w:t>3</w:t>
            </w:r>
            <w:r>
              <w:rPr>
                <w:rFonts w:hint="eastAsia" w:ascii="方正小标宋_GBK" w:hAnsi="方正小标宋_GBK" w:eastAsia="方正小标宋_GBK" w:cs="方正小标宋_GBK"/>
                <w:color w:val="000000"/>
                <w:kern w:val="0"/>
                <w:sz w:val="36"/>
                <w:szCs w:val="36"/>
                <w:lang w:bidi="ar"/>
              </w:rPr>
              <w:t>年度</w:t>
            </w:r>
            <w:r>
              <w:rPr>
                <w:rFonts w:hint="eastAsia" w:ascii="方正小标宋_GBK" w:hAnsi="方正小标宋_GBK" w:eastAsia="方正小标宋_GBK" w:cs="方正小标宋_GBK"/>
                <w:color w:val="000000"/>
                <w:kern w:val="0"/>
                <w:sz w:val="36"/>
                <w:szCs w:val="36"/>
                <w:lang w:eastAsia="zh-CN" w:bidi="ar"/>
              </w:rPr>
              <w:t>一般性</w:t>
            </w:r>
            <w:r>
              <w:rPr>
                <w:rFonts w:hint="eastAsia" w:ascii="方正小标宋_GBK" w:hAnsi="方正小标宋_GBK" w:eastAsia="方正小标宋_GBK" w:cs="方正小标宋_GBK"/>
                <w:color w:val="000000"/>
                <w:kern w:val="0"/>
                <w:sz w:val="36"/>
                <w:szCs w:val="36"/>
                <w:lang w:bidi="ar"/>
              </w:rPr>
              <w:t>项目支出绩效自评表</w:t>
            </w:r>
          </w:p>
        </w:tc>
      </w:tr>
      <w:tr>
        <w:tblPrEx>
          <w:tblLayout w:type="fixed"/>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项目名称</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指标性质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计量单位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指标权重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全年完成值</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指标得分</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说明</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自评得分</w:t>
            </w:r>
          </w:p>
        </w:tc>
      </w:tr>
      <w:tr>
        <w:tblPrEx>
          <w:tblLayout w:type="fixed"/>
          <w:tblCellMar>
            <w:top w:w="0" w:type="dxa"/>
            <w:left w:w="108" w:type="dxa"/>
            <w:bottom w:w="0" w:type="dxa"/>
            <w:right w:w="108" w:type="dxa"/>
          </w:tblCellMar>
        </w:tblPrEx>
        <w:trPr>
          <w:trHeight w:val="1171" w:hRule="atLeast"/>
        </w:trPr>
        <w:tc>
          <w:tcPr>
            <w:tcW w:w="600" w:type="dxa"/>
            <w:vMerge w:val="restart"/>
            <w:tcBorders>
              <w:top w:val="single" w:color="000000" w:sz="4" w:space="0"/>
              <w:left w:val="single" w:color="000000" w:sz="4" w:space="0"/>
              <w:bottom w:val="single" w:color="auto" w:sz="4" w:space="0"/>
              <w:right w:val="single" w:color="000000" w:sz="4" w:space="0"/>
            </w:tcBorders>
            <w:noWrap/>
            <w:vAlign w:val="center"/>
          </w:tcPr>
          <w:p>
            <w:pPr>
              <w:jc w:val="center"/>
              <w:textAlignment w:val="center"/>
              <w:rPr>
                <w:color w:val="000000"/>
                <w:sz w:val="22"/>
              </w:rPr>
            </w:pPr>
            <w:r>
              <w:rPr>
                <w:color w:val="000000"/>
                <w:kern w:val="0"/>
                <w:sz w:val="22"/>
                <w:lang w:bidi="ar"/>
              </w:rPr>
              <w:t>1</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r>
              <w:rPr>
                <w:rFonts w:hint="eastAsia" w:ascii="宋体" w:hAnsi="宋体" w:cs="宋体"/>
                <w:color w:val="000000"/>
                <w:sz w:val="22"/>
              </w:rPr>
              <w:t>行政事业单位银行账户系统维护费</w:t>
            </w:r>
            <w:r>
              <w:rPr>
                <w:rFonts w:hint="eastAsia" w:ascii="宋体" w:hAnsi="宋体" w:cs="宋体"/>
                <w:color w:val="000000"/>
                <w:sz w:val="22"/>
              </w:rPr>
              <w:tab/>
            </w:r>
          </w:p>
        </w:tc>
        <w:tc>
          <w:tcPr>
            <w:tcW w:w="918"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left"/>
              <w:rPr>
                <w:rFonts w:hint="eastAsia" w:ascii="宋体" w:hAnsi="宋体" w:eastAsia="宋体" w:cs="宋体"/>
                <w:color w:val="000000"/>
                <w:sz w:val="22"/>
                <w:szCs w:val="24"/>
                <w:lang w:val="en-US" w:eastAsia="zh-CN" w:bidi="ar-SA"/>
              </w:rPr>
            </w:pPr>
            <w:r>
              <w:rPr>
                <w:rFonts w:hint="eastAsia" w:ascii="宋体" w:hAnsi="宋体"/>
                <w:color w:val="000000"/>
                <w:sz w:val="22"/>
              </w:rPr>
              <w:t>使用单位覆盖率</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宋体"/>
                <w:color w:val="000000"/>
                <w:sz w:val="22"/>
                <w:szCs w:val="24"/>
                <w:lang w:val="en-US" w:eastAsia="zh-CN" w:bidi="ar-SA"/>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宋体"/>
                <w:color w:val="000000"/>
                <w:sz w:val="22"/>
                <w:szCs w:val="24"/>
                <w:lang w:val="en-US" w:eastAsia="zh-CN" w:bidi="ar-SA"/>
              </w:rPr>
            </w:pPr>
            <w:r>
              <w:rPr>
                <w:rFonts w:hint="eastAsia" w:ascii="宋体" w:hAnsi="宋体"/>
                <w:color w:val="000000"/>
                <w:sz w:val="22"/>
              </w:rPr>
              <w:t>100</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宋体"/>
                <w:color w:val="000000"/>
                <w:sz w:val="22"/>
                <w:szCs w:val="24"/>
                <w:lang w:val="en-US" w:eastAsia="zh-CN" w:bidi="ar-SA"/>
              </w:rPr>
            </w:pPr>
            <w:r>
              <w:rPr>
                <w:rFonts w:hint="eastAsia" w:ascii="宋体" w:hAnsi="宋体"/>
                <w:color w:val="000000"/>
                <w:sz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eastAsia="宋体" w:cs="宋体"/>
                <w:color w:val="000000"/>
                <w:sz w:val="22"/>
                <w:szCs w:val="24"/>
                <w:lang w:val="en-US" w:eastAsia="zh-CN" w:bidi="ar-SA"/>
              </w:rPr>
            </w:pPr>
            <w:r>
              <w:rPr>
                <w:rFonts w:hint="eastAsia" w:ascii="宋体" w:hAnsi="宋体"/>
                <w:color w:val="000000"/>
                <w:sz w:val="22"/>
              </w:rPr>
              <w:t>40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40</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22"/>
                <w:lang w:val="en-US" w:eastAsia="zh-CN"/>
              </w:rPr>
            </w:pPr>
            <w:r>
              <w:rPr>
                <w:rFonts w:hint="eastAsia" w:cs="宋体"/>
                <w:color w:val="000000"/>
                <w:sz w:val="22"/>
                <w:lang w:val="en-US" w:eastAsia="zh-CN"/>
              </w:rPr>
              <w:t>100</w:t>
            </w:r>
          </w:p>
        </w:tc>
      </w:tr>
      <w:tr>
        <w:tblPrEx>
          <w:tblLayout w:type="fixed"/>
          <w:tblCellMar>
            <w:top w:w="0" w:type="dxa"/>
            <w:left w:w="108" w:type="dxa"/>
            <w:bottom w:w="0" w:type="dxa"/>
            <w:right w:w="108" w:type="dxa"/>
          </w:tblCellMar>
        </w:tblPrEx>
        <w:trPr>
          <w:trHeight w:val="919"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问题处理时效</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天</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40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1</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40</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1116"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使用单位的满意度</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85</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90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10</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1146"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color w:val="000000"/>
                <w:sz w:val="21"/>
                <w:szCs w:val="32"/>
              </w:rPr>
              <w:t>年度预算执行率</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color w:val="000000"/>
                <w:sz w:val="22"/>
              </w:rPr>
              <w:t>100</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color w:val="000000"/>
                <w:sz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r>
              <w:rPr>
                <w:rFonts w:hint="eastAsia"/>
                <w:color w:val="000000"/>
                <w:sz w:val="22"/>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r>
              <w:rPr>
                <w:rFonts w:hint="eastAsia"/>
                <w:color w:val="000000"/>
                <w:sz w:val="22"/>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r>
              <w:rPr>
                <w:rFonts w:hint="eastAsia"/>
                <w:color w:val="000000"/>
                <w:sz w:val="22"/>
              </w:rPr>
              <w:t>10</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restart"/>
            <w:tcBorders>
              <w:top w:val="single" w:color="auto" w:sz="4" w:space="0"/>
              <w:left w:val="single" w:color="000000" w:sz="4" w:space="0"/>
              <w:bottom w:val="single" w:color="auto" w:sz="4" w:space="0"/>
              <w:right w:val="single" w:color="000000" w:sz="4" w:space="0"/>
            </w:tcBorders>
            <w:noWrap/>
            <w:vAlign w:val="center"/>
          </w:tcPr>
          <w:p>
            <w:pPr>
              <w:jc w:val="center"/>
              <w:textAlignment w:val="center"/>
              <w:rPr>
                <w:color w:val="000000"/>
                <w:sz w:val="22"/>
              </w:rPr>
            </w:pPr>
            <w:r>
              <w:rPr>
                <w:rFonts w:hint="eastAsia"/>
                <w:color w:val="000000"/>
                <w:kern w:val="0"/>
                <w:sz w:val="22"/>
                <w:lang w:bidi="ar"/>
              </w:rPr>
              <w:t>2</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r>
              <w:rPr>
                <w:rFonts w:hint="eastAsia" w:ascii="宋体" w:hAnsi="宋体" w:cs="宋体"/>
                <w:color w:val="000000"/>
                <w:sz w:val="22"/>
              </w:rPr>
              <w:t>财政预算管理一体化系统运行维护费</w:t>
            </w:r>
            <w:r>
              <w:rPr>
                <w:rFonts w:hint="eastAsia" w:ascii="宋体" w:hAnsi="宋体" w:cs="宋体"/>
                <w:color w:val="000000"/>
                <w:sz w:val="22"/>
              </w:rPr>
              <w:tab/>
            </w:r>
          </w:p>
        </w:tc>
        <w:tc>
          <w:tcPr>
            <w:tcW w:w="9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4"/>
                <w:lang w:val="en-US" w:eastAsia="zh-CN" w:bidi="ar-SA"/>
              </w:rPr>
            </w:pPr>
            <w:r>
              <w:rPr>
                <w:rFonts w:hint="eastAsia" w:cs="宋体"/>
                <w:color w:val="000000"/>
                <w:sz w:val="22"/>
                <w:lang w:eastAsia="zh-CN"/>
              </w:rPr>
              <w:t>年度预算执行率</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4"/>
                <w:lang w:val="en-US" w:eastAsia="zh-CN" w:bidi="ar-SA"/>
              </w:rPr>
            </w:pPr>
            <w:r>
              <w:rPr>
                <w:rFonts w:hint="eastAsia" w:cs="宋体"/>
                <w:color w:val="000000"/>
                <w:sz w:val="22"/>
                <w:lang w:val="en-US" w:eastAsia="zh-CN"/>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4"/>
                <w:lang w:val="en-US" w:eastAsia="zh-CN" w:bidi="ar-SA"/>
              </w:rPr>
            </w:pPr>
            <w:r>
              <w:rPr>
                <w:rFonts w:hint="eastAsia" w:cs="宋体"/>
                <w:color w:val="000000"/>
                <w:sz w:val="22"/>
                <w:lang w:val="en-US" w:eastAsia="zh-CN"/>
              </w:rPr>
              <w:t>100</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4"/>
                <w:lang w:val="en-US" w:eastAsia="zh-CN" w:bidi="ar-SA"/>
              </w:rPr>
            </w:pPr>
            <w:r>
              <w:rPr>
                <w:rFonts w:hint="eastAsia" w:cs="宋体"/>
                <w:color w:val="000000"/>
                <w:sz w:val="22"/>
                <w:lang w:val="en-US" w:eastAsia="zh-CN"/>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4"/>
                <w:lang w:val="en-US" w:eastAsia="zh-CN" w:bidi="ar-SA"/>
              </w:rPr>
            </w:pPr>
            <w:r>
              <w:rPr>
                <w:rFonts w:hint="eastAsia" w:cs="宋体"/>
                <w:color w:val="000000"/>
                <w:sz w:val="22"/>
                <w:lang w:val="en-US" w:eastAsia="zh-CN"/>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22"/>
                <w:lang w:val="en-US" w:eastAsia="zh-CN"/>
              </w:rPr>
            </w:pPr>
            <w:r>
              <w:rPr>
                <w:rFonts w:hint="eastAsia" w:cs="宋体"/>
                <w:color w:val="000000"/>
                <w:sz w:val="22"/>
                <w:lang w:val="en-US" w:eastAsia="zh-CN"/>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22"/>
                <w:lang w:val="en-US" w:eastAsia="zh-CN"/>
              </w:rPr>
            </w:pPr>
            <w:r>
              <w:rPr>
                <w:rFonts w:hint="eastAsia" w:cs="宋体"/>
                <w:color w:val="000000"/>
                <w:sz w:val="22"/>
                <w:lang w:val="en-US" w:eastAsia="zh-CN"/>
              </w:rPr>
              <w:t>10</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22"/>
                <w:lang w:val="en-US" w:eastAsia="zh-CN"/>
              </w:rPr>
            </w:pPr>
            <w:r>
              <w:rPr>
                <w:rFonts w:hint="eastAsia" w:cs="宋体"/>
                <w:color w:val="000000"/>
                <w:sz w:val="22"/>
                <w:lang w:val="en-US" w:eastAsia="zh-CN"/>
              </w:rPr>
              <w:t>100</w:t>
            </w: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918"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left"/>
              <w:rPr>
                <w:rFonts w:hint="eastAsia" w:ascii="宋体" w:hAnsi="宋体" w:cs="宋体"/>
                <w:color w:val="000000"/>
                <w:sz w:val="22"/>
              </w:rPr>
            </w:pPr>
            <w:r>
              <w:rPr>
                <w:rFonts w:hint="eastAsia" w:ascii="宋体" w:hAnsi="宋体"/>
                <w:color w:val="000000"/>
                <w:sz w:val="22"/>
              </w:rPr>
              <w:t>使用单位覆盖率</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100</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40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40</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918"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left"/>
              <w:rPr>
                <w:rFonts w:hint="eastAsia" w:ascii="宋体" w:hAnsi="宋体" w:cs="宋体"/>
                <w:color w:val="000000"/>
                <w:sz w:val="22"/>
              </w:rPr>
            </w:pPr>
            <w:r>
              <w:rPr>
                <w:rFonts w:hint="eastAsia" w:ascii="宋体" w:hAnsi="宋体"/>
                <w:color w:val="000000"/>
                <w:sz w:val="22"/>
              </w:rPr>
              <w:t>平台正常使用天数</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270</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天</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40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350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40</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textAlignment w:val="center"/>
              <w:rPr>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918"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left"/>
              <w:rPr>
                <w:rFonts w:hint="eastAsia" w:ascii="宋体" w:hAnsi="宋体" w:cs="宋体"/>
                <w:color w:val="000000"/>
                <w:sz w:val="22"/>
              </w:rPr>
            </w:pPr>
            <w:r>
              <w:rPr>
                <w:rFonts w:hint="eastAsia" w:ascii="宋体" w:hAnsi="宋体"/>
                <w:color w:val="000000"/>
                <w:sz w:val="22"/>
              </w:rPr>
              <w:t>使用单位的满意度</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85</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90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spacing w:beforeLines="0" w:afterLines="0"/>
              <w:jc w:val="center"/>
              <w:rPr>
                <w:rFonts w:hint="eastAsia" w:ascii="宋体" w:hAnsi="宋体" w:cs="宋体"/>
                <w:color w:val="000000"/>
                <w:sz w:val="22"/>
              </w:rPr>
            </w:pPr>
            <w:r>
              <w:rPr>
                <w:rFonts w:hint="eastAsia" w:ascii="宋体" w:hAnsi="宋体"/>
                <w:color w:val="000000"/>
                <w:sz w:val="22"/>
              </w:rPr>
              <w:t>10</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r>
    </w:tbl>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部门</w:t>
      </w:r>
      <w:r>
        <w:rPr>
          <w:rFonts w:hint="eastAsia" w:ascii="楷体" w:hAnsi="楷体" w:eastAsia="楷体" w:cs="楷体"/>
          <w:b/>
          <w:bCs/>
          <w:sz w:val="32"/>
          <w:szCs w:val="32"/>
          <w:shd w:val="clear" w:color="auto" w:fill="FFFFFF"/>
        </w:rPr>
        <w:t>绩效评价情况</w:t>
      </w:r>
    </w:p>
    <w:p>
      <w:pPr>
        <w:pStyle w:val="16"/>
        <w:tabs>
          <w:tab w:val="center" w:pos="4153"/>
          <w:tab w:val="left" w:pos="7275"/>
        </w:tabs>
        <w:spacing w:line="600" w:lineRule="exact"/>
        <w:ind w:firstLine="64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643"/>
        <w:rPr>
          <w:rFonts w:ascii="方正仿宋_GBK" w:hAnsi="方正仿宋_GBK" w:eastAsia="方正仿宋_GBK" w:cs="方正仿宋_GBK"/>
          <w:sz w:val="32"/>
          <w:szCs w:val="32"/>
          <w:shd w:val="clear" w:color="auto" w:fill="FFFFFF"/>
        </w:rPr>
      </w:pPr>
      <w:r>
        <w:rPr>
          <w:rFonts w:hint="eastAsia" w:ascii="方正仿宋_GBK" w:hAnsi="宋体" w:eastAsia="方正仿宋_GBK" w:cs="宋体"/>
          <w:kern w:val="0"/>
          <w:sz w:val="32"/>
          <w:szCs w:val="32"/>
          <w:lang w:eastAsia="zh-CN"/>
        </w:rPr>
        <w:t>区财政局未委托第三方对我单位开展绩效评价。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rPr>
        <w:t>023-58235517。</w:t>
      </w:r>
    </w:p>
    <w:p>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 xml:space="preserve"> </w:t>
      </w:r>
    </w:p>
    <w:p>
      <w:pPr>
        <w:rPr>
          <w:rFonts w:hint="default" w:cs="宋体"/>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公开单位：</w:t>
            </w:r>
            <w:r>
              <w:rPr>
                <w:sz w:val="20"/>
                <w:u w:color="auto"/>
              </w:rPr>
              <w:t>重庆市万州区国库集中支付中心</w:t>
            </w:r>
          </w:p>
        </w:tc>
        <w:tc>
          <w:tcPr>
            <w:tcW w:w="48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716.57</w:t>
            </w: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550.96</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93.45</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28.84</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43.33</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716.57</w:t>
            </w: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716.57</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716.57</w:t>
            </w:r>
            <w:r>
              <w:rPr>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716.57</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288"/>
        <w:gridCol w:w="1116"/>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sz w:val="20"/>
                <w:u w:color="auto"/>
              </w:rPr>
              <w:t>重庆市万州区国库集中支付中心</w:t>
            </w: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86" w:hRule="atLeast"/>
        </w:trPr>
        <w:tc>
          <w:tcPr>
            <w:tcW w:w="4990"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8" w:type="dxa"/>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99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716.57</w:t>
            </w: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716.57</w:t>
            </w: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251"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550.96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550.96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91"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550.96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550.96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73"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490.10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490.10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73"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60.86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60.86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5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93.45</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93.45</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61"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91.48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91.48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06"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8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57.77</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57.77</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1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12.78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12.78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20.49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20.49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76"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2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5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13"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13"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73"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51"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23.16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23.16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36"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43.33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43.33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2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43.33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43.33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0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43.33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43.33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412"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重庆市万州区国库集中支付中心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77"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55" w:type="dxa"/>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27"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716.57</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655.71</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60.86</w:t>
            </w:r>
            <w:r>
              <w:rPr>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247"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550.96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490.10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60.86</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4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550.96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490.10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60.86</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0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490.10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490.10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27"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60.86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60.86</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7"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93.45</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93.45</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7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91.48</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91.48</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3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17"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57.77</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57.77</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3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12.78</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12.78</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7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20.49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20.49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0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3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0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27"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0.72</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17"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7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1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23.16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23.16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3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5.68</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5.68</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87"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43.33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43.33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57"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43.33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43.33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107"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43.33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43.33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重庆市万州区国库集中支付中心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716.57</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550.96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550.96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93.45</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93.45</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28.84</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28.84</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43.33</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43.33</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716.57</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716.57</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716.57</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716.57</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716.57</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716.57</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重庆市万州区国库集中支付中心</w:t>
            </w: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716.57</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655.71</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60.86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550.96</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490.10</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60.86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550.96</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490.10</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60.86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490.10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490.10</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60.86</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60.86</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93.45</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93.45</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91.48</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91.48</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0.44</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0.44</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57.77</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57.77</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12.78</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12.78</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20.49</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20.49</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1.24</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1.24</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1.24</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0.72</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0.72</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0.72</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0.72</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28.84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28.84</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28.84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28.84</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23.16</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23.16</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5.68</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5.68</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43.33</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43.33</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43.33</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43.33</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43.33</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43.33</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重庆市万州区国库集中支付中心</w:t>
            </w: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569.14</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63.20</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138.75</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5.69</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92.50</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190.72</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0.11</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57.77</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12.78</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9.24</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23.16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0.72</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43.33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4.48</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1.75</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4.93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23.37</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0.30</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0.85</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1.24</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20.49</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1.86</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1.64</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2.89</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12.42</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4.03</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22.52</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1.53</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592.51</w:t>
            </w:r>
            <w:r>
              <w:rPr>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63.20</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重庆市万州区国库集中支付中心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重庆市万州区国库集中支付中心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Layout w:type="fixed"/>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Layout w:type="fixed"/>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重庆市万州区国库集中支付中心</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63.20</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4.03</w:t>
            </w: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4.03</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63.20</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4.03</w:t>
            </w: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4.03</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4.03</w:t>
            </w: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4.03</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0.30</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sz w:val="16"/>
                <w:szCs w:val="16"/>
              </w:rPr>
            </w:pPr>
          </w:p>
        </w:tc>
      </w:tr>
      <w:tr>
        <w:tblPrEx>
          <w:tblLayout w:type="fixed"/>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0.85</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sz w:val="16"/>
                <w:szCs w:val="16"/>
              </w:rPr>
            </w:pPr>
          </w:p>
        </w:tc>
      </w:tr>
    </w:tbl>
    <w:p>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172A27"/>
    <w:rsid w:val="001D3BB7"/>
    <w:rsid w:val="002B254B"/>
    <w:rsid w:val="00466C9B"/>
    <w:rsid w:val="0047082C"/>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11230A"/>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862D73"/>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3B47F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1F500D4"/>
    <w:rsid w:val="426C1EA8"/>
    <w:rsid w:val="42736402"/>
    <w:rsid w:val="42E86A87"/>
    <w:rsid w:val="43307B09"/>
    <w:rsid w:val="435F2AA5"/>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552427"/>
    <w:rsid w:val="66EE5541"/>
    <w:rsid w:val="67924660"/>
    <w:rsid w:val="68407834"/>
    <w:rsid w:val="6883293E"/>
    <w:rsid w:val="688412AD"/>
    <w:rsid w:val="68D45F06"/>
    <w:rsid w:val="68EB1B71"/>
    <w:rsid w:val="6A6C7940"/>
    <w:rsid w:val="6AAD2300"/>
    <w:rsid w:val="6B474EF5"/>
    <w:rsid w:val="6C0A5AC5"/>
    <w:rsid w:val="6C560CAE"/>
    <w:rsid w:val="6C576495"/>
    <w:rsid w:val="6D903FF5"/>
    <w:rsid w:val="6DA955B8"/>
    <w:rsid w:val="6DE346AB"/>
    <w:rsid w:val="6DE5391A"/>
    <w:rsid w:val="6EDB452C"/>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123BAF"/>
    <w:rsid w:val="7C3A7C0B"/>
    <w:rsid w:val="7C5248E4"/>
    <w:rsid w:val="7C566698"/>
    <w:rsid w:val="7C5866A3"/>
    <w:rsid w:val="7D7406BB"/>
    <w:rsid w:val="7DC44C8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4001</Words>
  <Characters>22811</Characters>
  <Lines>190</Lines>
  <Paragraphs>53</Paragraphs>
  <TotalTime>0</TotalTime>
  <ScaleCrop>false</ScaleCrop>
  <LinksUpToDate>false</LinksUpToDate>
  <CharactersWithSpaces>26759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2025-09-17T03:24:46Z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BB46EABDBB2749749395447164B066B3_12</vt:lpwstr>
  </property>
</Properties>
</file>