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重庆市万州区财政预算绩效管理评审中心2023年度区级单位决算公开说明</w:t>
      </w:r>
    </w:p>
    <w:p>
      <w:pPr>
        <w:pStyle w:val="6"/>
        <w:shd w:val="clear" w:color="auto" w:fill="FFFFFF"/>
        <w:rPr>
          <w:rFonts w:hint="default" w:ascii="黑体" w:hAnsi="黑体" w:eastAsia="黑体" w:cs="黑体"/>
          <w:color w:val="auto"/>
          <w:sz w:val="32"/>
          <w:szCs w:val="32"/>
        </w:rPr>
      </w:pPr>
      <w:r>
        <w:rPr>
          <w:rStyle w:val="10"/>
          <w:rFonts w:ascii="黑体" w:hAnsi="黑体" w:eastAsia="黑体" w:cs="黑体"/>
          <w:color w:val="auto"/>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重庆市万州区财政预算绩效管理评审中心主要职能职责是承担财政预算评审，财政预算绩效管理，财务集中核算管理等。</w:t>
      </w:r>
    </w:p>
    <w:p>
      <w:pPr>
        <w:pStyle w:val="6"/>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重庆市万州区财政预算绩效管理评审中心为重庆市万州区财政局下属事业单位，内设</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个科室分别是财政预算绩效管理科，造价评审科，重大项目评审科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稽核科</w:t>
      </w:r>
      <w:r>
        <w:rPr>
          <w:rFonts w:hint="eastAsia" w:ascii="方正仿宋_GBK" w:hAnsi="方正仿宋_GBK" w:eastAsia="方正仿宋_GBK" w:cs="方正仿宋_GBK"/>
          <w:color w:val="auto"/>
          <w:sz w:val="32"/>
          <w:szCs w:val="32"/>
          <w:shd w:val="clear" w:color="auto" w:fill="FFFFFF"/>
        </w:rPr>
        <w:t>。</w:t>
      </w:r>
    </w:p>
    <w:p>
      <w:pPr>
        <w:pStyle w:val="6"/>
        <w:shd w:val="clear" w:color="auto" w:fill="FFFFFF"/>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二、单位决算情况说明</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2023年度收入总计2071.36万元，支出总计</w:t>
      </w:r>
      <w:r>
        <w:rPr>
          <w:rFonts w:ascii="方正仿宋_GBK" w:hAnsi="方正仿宋_GBK" w:eastAsia="方正仿宋_GBK" w:cs="方正仿宋_GBK"/>
          <w:color w:val="auto"/>
          <w:sz w:val="32"/>
          <w:szCs w:val="32"/>
        </w:rPr>
        <w:t>2071.36</w:t>
      </w:r>
      <w:r>
        <w:rPr>
          <w:rFonts w:ascii="方正仿宋_GBK" w:hAnsi="方正仿宋_GBK" w:eastAsia="方正仿宋_GBK" w:cs="方正仿宋_GBK"/>
          <w:color w:val="auto"/>
          <w:sz w:val="32"/>
          <w:szCs w:val="32"/>
          <w:shd w:val="clear" w:color="auto" w:fill="FFFFFF"/>
        </w:rPr>
        <w:t>万元。收支较上年决算数减少242.87万元，下降10.49%，主要原因是</w:t>
      </w:r>
      <w:r>
        <w:rPr>
          <w:rFonts w:hint="eastAsia" w:ascii="方正仿宋_GBK" w:hAnsi="方正仿宋_GBK" w:eastAsia="方正仿宋_GBK" w:cs="方正仿宋_GBK"/>
          <w:color w:val="auto"/>
          <w:sz w:val="32"/>
          <w:szCs w:val="32"/>
          <w:shd w:val="clear" w:color="auto" w:fill="FFFFFF"/>
          <w:lang w:val="en-US" w:eastAsia="zh-CN"/>
        </w:rPr>
        <w:t>评审中心委托费用减少350.03万元，人员经费增加93.89万元</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2023年度收入合计2071.36万元，较上年决算数减少242.87万元，下降10.49%，主要原因是</w:t>
      </w:r>
      <w:r>
        <w:rPr>
          <w:rFonts w:hint="eastAsia" w:ascii="方正仿宋_GBK" w:hAnsi="方正仿宋_GBK" w:eastAsia="方正仿宋_GBK" w:cs="方正仿宋_GBK"/>
          <w:color w:val="auto"/>
          <w:sz w:val="32"/>
          <w:szCs w:val="32"/>
          <w:shd w:val="clear" w:color="auto" w:fill="FFFFFF"/>
        </w:rPr>
        <w:t>评审中心委托费用减少350.03万元，人员经费增加93.89万元</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2071.36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2071.36</w:t>
      </w:r>
      <w:r>
        <w:rPr>
          <w:rFonts w:ascii="方正仿宋_GBK" w:hAnsi="方正仿宋_GBK" w:eastAsia="方正仿宋_GBK" w:cs="方正仿宋_GBK"/>
          <w:color w:val="auto"/>
          <w:sz w:val="32"/>
          <w:szCs w:val="32"/>
          <w:shd w:val="clear" w:color="auto" w:fill="FFFFFF"/>
        </w:rPr>
        <w:t>万元，较上年决算数减少242.87万元，下降10.49%，主要原因是</w:t>
      </w:r>
      <w:r>
        <w:rPr>
          <w:rFonts w:hint="eastAsia" w:ascii="方正仿宋_GBK" w:hAnsi="方正仿宋_GBK" w:eastAsia="方正仿宋_GBK" w:cs="方正仿宋_GBK"/>
          <w:color w:val="auto"/>
          <w:sz w:val="32"/>
          <w:szCs w:val="32"/>
          <w:shd w:val="clear" w:color="auto" w:fill="FFFFFF"/>
        </w:rPr>
        <w:t>评审中心委托费用减少350.03万元，人员经费增加93.89万元。</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443.38</w:t>
      </w:r>
      <w:r>
        <w:rPr>
          <w:rFonts w:ascii="方正仿宋_GBK" w:hAnsi="方正仿宋_GBK" w:eastAsia="方正仿宋_GBK" w:cs="方正仿宋_GBK"/>
          <w:color w:val="auto"/>
          <w:sz w:val="32"/>
          <w:szCs w:val="32"/>
          <w:shd w:val="clear" w:color="auto" w:fill="FFFFFF"/>
        </w:rPr>
        <w:t>万元，占21.41%；项目支出</w:t>
      </w:r>
      <w:r>
        <w:rPr>
          <w:rFonts w:ascii="方正仿宋_GBK" w:hAnsi="方正仿宋_GBK" w:eastAsia="方正仿宋_GBK" w:cs="方正仿宋_GBK"/>
          <w:color w:val="auto"/>
          <w:sz w:val="32"/>
          <w:szCs w:val="32"/>
        </w:rPr>
        <w:t>1627.98</w:t>
      </w:r>
      <w:r>
        <w:rPr>
          <w:rFonts w:ascii="方正仿宋_GBK" w:hAnsi="方正仿宋_GBK" w:eastAsia="方正仿宋_GBK" w:cs="方正仿宋_GBK"/>
          <w:color w:val="auto"/>
          <w:sz w:val="32"/>
          <w:szCs w:val="32"/>
          <w:shd w:val="clear" w:color="auto" w:fill="FFFFFF"/>
        </w:rPr>
        <w:t>万元，占78.59%；经营支出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lang w:eastAsia="zh-CN"/>
        </w:rPr>
      </w:pPr>
      <w:r>
        <w:rPr>
          <w:rStyle w:val="10"/>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2023年度年末结转和结余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2023年度财政拨款收、支总计2071.36万元。与2022年相比，财政拨款收、支总计各减少242.87万元，下降10.49%。主要原因是</w:t>
      </w:r>
      <w:r>
        <w:rPr>
          <w:rFonts w:hint="eastAsia" w:ascii="方正仿宋_GBK" w:hAnsi="方正仿宋_GBK" w:eastAsia="方正仿宋_GBK" w:cs="方正仿宋_GBK"/>
          <w:color w:val="auto"/>
          <w:sz w:val="32"/>
          <w:szCs w:val="32"/>
          <w:shd w:val="clear" w:color="auto" w:fill="FFFFFF"/>
        </w:rPr>
        <w:t>评审中心委托费用减少350.03万元，人员经费增加93.89万元。</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2071.36</w:t>
      </w:r>
      <w:r>
        <w:rPr>
          <w:rFonts w:ascii="方正仿宋_GBK" w:hAnsi="方正仿宋_GBK" w:eastAsia="方正仿宋_GBK" w:cs="方正仿宋_GBK"/>
          <w:color w:val="auto"/>
          <w:sz w:val="32"/>
          <w:szCs w:val="32"/>
          <w:shd w:val="clear" w:color="auto" w:fill="FFFFFF"/>
        </w:rPr>
        <w:t>万元，较上年决算数减少242.87万元，下降10.49%。主要原因是</w:t>
      </w:r>
      <w:r>
        <w:rPr>
          <w:rFonts w:hint="eastAsia" w:ascii="方正仿宋_GBK" w:hAnsi="方正仿宋_GBK" w:eastAsia="方正仿宋_GBK" w:cs="方正仿宋_GBK"/>
          <w:color w:val="auto"/>
          <w:sz w:val="32"/>
          <w:szCs w:val="32"/>
          <w:shd w:val="clear" w:color="auto" w:fill="FFFFFF"/>
        </w:rPr>
        <w:t>评审中心委托费用减少350.03万元，人员经费增加93.89万元。</w:t>
      </w:r>
      <w:r>
        <w:rPr>
          <w:rFonts w:ascii="方正仿宋_GBK" w:hAnsi="方正仿宋_GBK" w:eastAsia="方正仿宋_GBK" w:cs="方正仿宋_GBK"/>
          <w:color w:val="auto"/>
          <w:sz w:val="32"/>
          <w:szCs w:val="32"/>
          <w:shd w:val="clear" w:color="auto" w:fill="FFFFFF"/>
        </w:rPr>
        <w:t>较年初预算数增加223.80万元，增长12.11%。主要原因是</w:t>
      </w:r>
      <w:r>
        <w:rPr>
          <w:rFonts w:hint="eastAsia" w:ascii="方正仿宋_GBK" w:hAnsi="方正仿宋_GBK" w:eastAsia="方正仿宋_GBK" w:cs="方正仿宋_GBK"/>
          <w:color w:val="auto"/>
          <w:sz w:val="32"/>
          <w:szCs w:val="32"/>
          <w:shd w:val="clear" w:color="auto" w:fill="FFFFFF"/>
        </w:rPr>
        <w:t>评审中心工作体量增大导致预算增加等，主要用于财政委托检查评审业务等等重点工作。</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2071.36</w:t>
      </w:r>
      <w:r>
        <w:rPr>
          <w:rFonts w:ascii="方正仿宋_GBK" w:hAnsi="方正仿宋_GBK" w:eastAsia="方正仿宋_GBK" w:cs="方正仿宋_GBK"/>
          <w:color w:val="auto"/>
          <w:sz w:val="32"/>
          <w:szCs w:val="32"/>
          <w:shd w:val="clear" w:color="auto" w:fill="FFFFFF"/>
        </w:rPr>
        <w:t>万元，较上年决算数减少242.87万元，下降10.49%。主要原因是</w:t>
      </w:r>
      <w:r>
        <w:rPr>
          <w:rFonts w:hint="eastAsia" w:ascii="方正仿宋_GBK" w:hAnsi="方正仿宋_GBK" w:eastAsia="方正仿宋_GBK" w:cs="方正仿宋_GBK"/>
          <w:color w:val="auto"/>
          <w:sz w:val="32"/>
          <w:szCs w:val="32"/>
          <w:shd w:val="clear" w:color="auto" w:fill="FFFFFF"/>
        </w:rPr>
        <w:t>评审中心委托费用减少350.03万元，人员经费增加93.89万元。</w:t>
      </w:r>
      <w:r>
        <w:rPr>
          <w:rFonts w:ascii="方正仿宋_GBK" w:hAnsi="方正仿宋_GBK" w:eastAsia="方正仿宋_GBK" w:cs="方正仿宋_GBK"/>
          <w:color w:val="auto"/>
          <w:sz w:val="32"/>
          <w:szCs w:val="32"/>
          <w:shd w:val="clear" w:color="auto" w:fill="FFFFFF"/>
        </w:rPr>
        <w:t>较年初预算数增加223.80万元，增长12.11%。主要原因是</w:t>
      </w:r>
      <w:r>
        <w:rPr>
          <w:rFonts w:hint="eastAsia" w:ascii="方正仿宋_GBK" w:hAnsi="方正仿宋_GBK" w:eastAsia="方正仿宋_GBK" w:cs="方正仿宋_GBK"/>
          <w:color w:val="auto"/>
          <w:sz w:val="32"/>
          <w:szCs w:val="32"/>
          <w:shd w:val="clear" w:color="auto" w:fill="FFFFFF"/>
        </w:rPr>
        <w:t>评审中心工作体量增大导致预算增加等，主要用于财政委托检查评审业务等等重点工作。</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lang w:eastAsia="zh-CN"/>
        </w:rPr>
      </w:pPr>
      <w:r>
        <w:rPr>
          <w:rStyle w:val="10"/>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1979.36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95.56</w:t>
      </w:r>
      <w:r>
        <w:rPr>
          <w:rFonts w:ascii="方正仿宋_GBK" w:hAnsi="方正仿宋_GBK" w:eastAsia="方正仿宋_GBK" w:cs="方正仿宋_GBK"/>
          <w:color w:val="auto"/>
          <w:sz w:val="32"/>
          <w:szCs w:val="32"/>
          <w:shd w:val="clear" w:color="auto" w:fill="FFFFFF"/>
        </w:rPr>
        <w:t>%，较年初预算数增加202.59万元，增长11.40%，主要原因是</w:t>
      </w:r>
      <w:r>
        <w:rPr>
          <w:rFonts w:hint="eastAsia" w:ascii="方正仿宋_GBK" w:hAnsi="方正仿宋_GBK" w:eastAsia="方正仿宋_GBK" w:cs="方正仿宋_GBK"/>
          <w:color w:val="auto"/>
          <w:sz w:val="32"/>
          <w:szCs w:val="32"/>
          <w:shd w:val="clear" w:color="auto" w:fill="FFFFFF"/>
        </w:rPr>
        <w:t>评审中心工作体量增大导致预算增加等。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40.79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1.97</w:t>
      </w:r>
      <w:r>
        <w:rPr>
          <w:rFonts w:ascii="方正仿宋_GBK" w:hAnsi="方正仿宋_GBK" w:eastAsia="方正仿宋_GBK" w:cs="方正仿宋_GBK"/>
          <w:color w:val="auto"/>
          <w:sz w:val="32"/>
          <w:szCs w:val="32"/>
          <w:shd w:val="clear" w:color="auto" w:fill="FFFFFF"/>
        </w:rPr>
        <w:t>%，较年初预算数增加5.40万元，增长15.26%，主要原因是</w:t>
      </w:r>
      <w:r>
        <w:rPr>
          <w:rFonts w:hint="eastAsia" w:ascii="方正仿宋_GBK" w:hAnsi="方正仿宋_GBK" w:eastAsia="方正仿宋_GBK" w:cs="方正仿宋_GBK"/>
          <w:color w:val="auto"/>
          <w:sz w:val="32"/>
          <w:szCs w:val="32"/>
          <w:shd w:val="clear" w:color="auto" w:fill="FFFFFF"/>
        </w:rPr>
        <w:t>主要原因是人员调进调出</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导致人员经费变化。</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17.92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0.87</w:t>
      </w:r>
      <w:r>
        <w:rPr>
          <w:rFonts w:ascii="方正仿宋_GBK" w:hAnsi="方正仿宋_GBK" w:eastAsia="方正仿宋_GBK" w:cs="方正仿宋_GBK"/>
          <w:color w:val="auto"/>
          <w:sz w:val="32"/>
          <w:szCs w:val="32"/>
          <w:shd w:val="clear" w:color="auto" w:fill="FFFFFF"/>
        </w:rPr>
        <w:t>%，较年初预算数无增减。</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住房保障支出33.29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1.61</w:t>
      </w:r>
      <w:r>
        <w:rPr>
          <w:rFonts w:ascii="方正仿宋_GBK" w:hAnsi="方正仿宋_GBK" w:eastAsia="方正仿宋_GBK" w:cs="方正仿宋_GBK"/>
          <w:color w:val="auto"/>
          <w:sz w:val="32"/>
          <w:szCs w:val="32"/>
          <w:shd w:val="clear" w:color="auto" w:fill="FFFFFF"/>
        </w:rPr>
        <w:t>%，较年初预算数增加15.81万元，增长90.45%，主要原因是</w:t>
      </w:r>
      <w:r>
        <w:rPr>
          <w:rFonts w:hint="eastAsia" w:ascii="方正仿宋_GBK" w:hAnsi="方正仿宋_GBK" w:eastAsia="方正仿宋_GBK" w:cs="方正仿宋_GBK"/>
          <w:color w:val="auto"/>
          <w:sz w:val="32"/>
          <w:szCs w:val="32"/>
          <w:shd w:val="clear" w:color="auto" w:fill="FFFFFF"/>
        </w:rPr>
        <w:t>人员调进调出。</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2023年度一般公共财政拨款基本支出</w:t>
      </w:r>
      <w:r>
        <w:rPr>
          <w:rFonts w:ascii="方正仿宋_GBK" w:hAnsi="方正仿宋_GBK" w:eastAsia="方正仿宋_GBK" w:cs="方正仿宋_GBK"/>
          <w:color w:val="auto"/>
          <w:sz w:val="32"/>
          <w:szCs w:val="32"/>
        </w:rPr>
        <w:t>443.38</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405.32</w:t>
      </w:r>
      <w:r>
        <w:rPr>
          <w:rFonts w:ascii="方正仿宋_GBK" w:hAnsi="方正仿宋_GBK" w:eastAsia="方正仿宋_GBK" w:cs="方正仿宋_GBK"/>
          <w:color w:val="auto"/>
          <w:sz w:val="32"/>
          <w:szCs w:val="32"/>
          <w:shd w:val="clear" w:color="auto" w:fill="FFFFFF"/>
        </w:rPr>
        <w:t>万元，较上年决算数增加93.89万元，增长30.15%，主要原因是</w:t>
      </w:r>
      <w:r>
        <w:rPr>
          <w:rFonts w:hint="eastAsia" w:ascii="方正仿宋_GBK" w:hAnsi="方正仿宋_GBK" w:eastAsia="方正仿宋_GBK" w:cs="方正仿宋_GBK"/>
          <w:color w:val="auto"/>
          <w:sz w:val="32"/>
          <w:szCs w:val="32"/>
          <w:shd w:val="clear" w:color="auto" w:fill="FFFFFF"/>
        </w:rPr>
        <w:t>人员调进调出。</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w:t>
      </w:r>
      <w:r>
        <w:rPr>
          <w:rFonts w:hint="eastAsia" w:ascii="方正仿宋_GBK" w:hAnsi="方正仿宋_GBK" w:eastAsia="方正仿宋_GBK" w:cs="方正仿宋_GBK"/>
          <w:color w:val="auto"/>
          <w:sz w:val="32"/>
          <w:szCs w:val="32"/>
          <w:shd w:val="clear" w:color="auto" w:fill="FFFFFF"/>
          <w:lang w:val="en-US" w:eastAsia="zh-CN"/>
        </w:rPr>
        <w:t>基础绩效、超额绩效、</w:t>
      </w:r>
      <w:r>
        <w:rPr>
          <w:rFonts w:hint="eastAsia" w:ascii="方正仿宋_GBK" w:hAnsi="方正仿宋_GBK" w:eastAsia="方正仿宋_GBK" w:cs="方正仿宋_GBK"/>
          <w:color w:val="auto"/>
          <w:sz w:val="32"/>
          <w:szCs w:val="32"/>
          <w:shd w:val="clear" w:color="auto" w:fill="FFFFFF"/>
        </w:rPr>
        <w:t>津贴补贴、社会保障缴费等。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38.06</w:t>
      </w:r>
      <w:r>
        <w:rPr>
          <w:rFonts w:ascii="方正仿宋_GBK" w:hAnsi="方正仿宋_GBK" w:eastAsia="方正仿宋_GBK" w:cs="方正仿宋_GBK"/>
          <w:color w:val="auto"/>
          <w:sz w:val="32"/>
          <w:szCs w:val="32"/>
          <w:shd w:val="clear" w:color="auto" w:fill="FFFFFF"/>
        </w:rPr>
        <w:t>万元，较上年决算数增加13.27万元，增长53.53%，主要原因是</w:t>
      </w:r>
      <w:r>
        <w:rPr>
          <w:rFonts w:hint="eastAsia" w:ascii="方正仿宋_GBK" w:hAnsi="方正仿宋_GBK" w:eastAsia="方正仿宋_GBK" w:cs="方正仿宋_GBK"/>
          <w:color w:val="auto"/>
          <w:sz w:val="32"/>
          <w:szCs w:val="32"/>
          <w:shd w:val="clear" w:color="auto" w:fill="FFFFFF"/>
        </w:rPr>
        <w:t>人员调进调出公用经费随之增加。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val="en-US" w:eastAsia="zh-CN"/>
        </w:rPr>
        <w:t>差旅费、</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val="en-US" w:eastAsia="zh-CN"/>
        </w:rPr>
        <w:t>劳务费、</w:t>
      </w:r>
      <w:r>
        <w:rPr>
          <w:rFonts w:hint="eastAsia" w:ascii="方正仿宋_GBK" w:hAnsi="方正仿宋_GBK" w:eastAsia="方正仿宋_GBK" w:cs="方正仿宋_GBK"/>
          <w:color w:val="auto"/>
          <w:sz w:val="32"/>
          <w:szCs w:val="32"/>
          <w:shd w:val="clear" w:color="auto" w:fill="FFFFFF"/>
        </w:rPr>
        <w:t>其他交通费、公车运行维护费等。</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本单位2023年度无政府性基金预算财政拨款收支。</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本单位2023年度无国有资本经营预算财政拨款支出。</w:t>
      </w:r>
    </w:p>
    <w:p>
      <w:pPr>
        <w:pStyle w:val="6"/>
        <w:shd w:val="clear" w:color="auto" w:fill="FFFFFF"/>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三、“三公”经费情况说明</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2023年度“三公”经费支出共计</w:t>
      </w:r>
      <w:r>
        <w:rPr>
          <w:rFonts w:ascii="方正仿宋_GBK" w:hAnsi="方正仿宋_GBK" w:eastAsia="方正仿宋_GBK" w:cs="方正仿宋_GBK"/>
          <w:color w:val="auto"/>
          <w:sz w:val="32"/>
          <w:szCs w:val="32"/>
        </w:rPr>
        <w:t>4.79</w:t>
      </w:r>
      <w:r>
        <w:rPr>
          <w:rFonts w:ascii="方正仿宋_GBK" w:hAnsi="方正仿宋_GBK" w:eastAsia="方正仿宋_GBK" w:cs="方正仿宋_GBK"/>
          <w:color w:val="auto"/>
          <w:sz w:val="32"/>
          <w:szCs w:val="32"/>
          <w:shd w:val="clear" w:color="auto" w:fill="FFFFFF"/>
        </w:rPr>
        <w:t>万元，较年初预算数减少1.51万元，下降23.97%，主要原因是</w:t>
      </w:r>
      <w:r>
        <w:rPr>
          <w:rFonts w:hint="eastAsia" w:ascii="方正仿宋_GBK" w:hAnsi="方正仿宋_GBK" w:eastAsia="方正仿宋_GBK" w:cs="方正仿宋_GBK"/>
          <w:color w:val="auto"/>
          <w:sz w:val="32"/>
          <w:szCs w:val="32"/>
          <w:shd w:val="clear" w:color="auto" w:fill="FFFFFF"/>
        </w:rPr>
        <w:t>严格执行中央八项规定精神，控制三公费用。</w:t>
      </w:r>
      <w:r>
        <w:rPr>
          <w:rFonts w:ascii="方正仿宋_GBK" w:hAnsi="方正仿宋_GBK" w:eastAsia="方正仿宋_GBK" w:cs="方正仿宋_GBK"/>
          <w:color w:val="auto"/>
          <w:sz w:val="32"/>
          <w:szCs w:val="32"/>
          <w:shd w:val="clear" w:color="auto" w:fill="FFFFFF"/>
        </w:rPr>
        <w:t>较上年支出数增加4.79万元，增长100.00%，主要原因是</w:t>
      </w:r>
      <w:r>
        <w:rPr>
          <w:rFonts w:hint="eastAsia" w:ascii="方正仿宋_GBK" w:hAnsi="方正仿宋_GBK" w:eastAsia="方正仿宋_GBK" w:cs="方正仿宋_GBK"/>
          <w:color w:val="auto"/>
          <w:sz w:val="32"/>
          <w:szCs w:val="32"/>
          <w:shd w:val="clear" w:color="auto" w:fill="FFFFFF"/>
          <w:lang w:val="en-US" w:eastAsia="zh-CN"/>
        </w:rPr>
        <w:t>22年评审中心和财政局合并办公，</w:t>
      </w:r>
      <w:r>
        <w:rPr>
          <w:rFonts w:hint="eastAsia" w:ascii="方正仿宋_GBK" w:hAnsi="方正仿宋_GBK" w:eastAsia="方正仿宋_GBK" w:cs="方正仿宋_GBK"/>
          <w:color w:val="auto"/>
          <w:sz w:val="32"/>
          <w:szCs w:val="32"/>
          <w:shd w:val="clear" w:color="auto" w:fill="FFFFFF"/>
        </w:rPr>
        <w:t>“三公”经费</w:t>
      </w:r>
      <w:r>
        <w:rPr>
          <w:rFonts w:hint="eastAsia" w:ascii="方正仿宋_GBK" w:hAnsi="方正仿宋_GBK" w:eastAsia="方正仿宋_GBK" w:cs="方正仿宋_GBK"/>
          <w:color w:val="auto"/>
          <w:sz w:val="32"/>
          <w:szCs w:val="32"/>
          <w:shd w:val="clear" w:color="auto" w:fill="FFFFFF"/>
          <w:lang w:val="en-US" w:eastAsia="zh-CN"/>
        </w:rPr>
        <w:t>在财政局（本级）支出。</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rPr>
        <w:t>因公务原因产生的国际旅费、国外城市间交通费、住宿费、伙食费和其他费用</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费用支出较年初预算数无增减</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本单位2023年度</w:t>
      </w:r>
      <w:r>
        <w:rPr>
          <w:rFonts w:hint="eastAsia" w:ascii="方正仿宋_GBK" w:hAnsi="方正仿宋_GBK" w:eastAsia="方正仿宋_GBK" w:cs="方正仿宋_GBK"/>
          <w:color w:val="auto"/>
          <w:sz w:val="32"/>
          <w:szCs w:val="32"/>
          <w:shd w:val="clear" w:color="auto" w:fill="FFFFFF"/>
        </w:rPr>
        <w:t>未安排因公出国（境）</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公务用车购置价款、车辆购置税和其他相关支出</w:t>
      </w:r>
      <w:r>
        <w:rPr>
          <w:rFonts w:ascii="方正仿宋_GBK" w:hAnsi="方正仿宋_GBK" w:eastAsia="方正仿宋_GBK" w:cs="方正仿宋_GBK"/>
          <w:color w:val="auto"/>
          <w:sz w:val="32"/>
          <w:szCs w:val="32"/>
          <w:shd w:val="clear" w:color="auto" w:fill="FFFFFF"/>
        </w:rPr>
        <w:t>。费用支出较年初预算数无增减。较上年支出数无增减，主要原因是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本单位2023年度</w:t>
      </w:r>
      <w:r>
        <w:rPr>
          <w:rFonts w:hint="eastAsia" w:ascii="方正仿宋_GBK" w:hAnsi="方正仿宋_GBK" w:eastAsia="方正仿宋_GBK" w:cs="方正仿宋_GBK"/>
          <w:color w:val="auto"/>
          <w:sz w:val="32"/>
          <w:szCs w:val="32"/>
          <w:shd w:val="clear" w:color="auto" w:fill="FFFFFF"/>
        </w:rPr>
        <w:t>未安排公务车购置费。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4.79</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机要文件交换、市内因公出行、各项业务检查等工作所需车辆的燃料费、维修费、过桥过路费、保险费等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。费用支出较年初预算数减少1.21万元，下降20.17%，主要原因是</w:t>
      </w:r>
      <w:r>
        <w:rPr>
          <w:rFonts w:hint="eastAsia" w:ascii="方正仿宋_GBK" w:hAnsi="方正仿宋_GBK" w:eastAsia="方正仿宋_GBK" w:cs="方正仿宋_GBK"/>
          <w:color w:val="auto"/>
          <w:sz w:val="32"/>
          <w:szCs w:val="32"/>
          <w:shd w:val="clear" w:color="auto" w:fill="FFFFFF"/>
        </w:rPr>
        <w:t>严格执行中央八项规定精神，控制三公费用。</w:t>
      </w:r>
      <w:r>
        <w:rPr>
          <w:rFonts w:ascii="方正仿宋_GBK" w:hAnsi="方正仿宋_GBK" w:eastAsia="方正仿宋_GBK" w:cs="方正仿宋_GBK"/>
          <w:color w:val="auto"/>
          <w:sz w:val="32"/>
          <w:szCs w:val="32"/>
          <w:shd w:val="clear" w:color="auto" w:fill="FFFFFF"/>
        </w:rPr>
        <w:t>较上年支出数增加4.79万元，增长100.00%，主要原因是</w:t>
      </w:r>
      <w:r>
        <w:rPr>
          <w:rFonts w:hint="eastAsia" w:ascii="方正仿宋_GBK" w:hAnsi="方正仿宋_GBK" w:eastAsia="方正仿宋_GBK" w:cs="方正仿宋_GBK"/>
          <w:color w:val="auto"/>
          <w:sz w:val="32"/>
          <w:szCs w:val="32"/>
          <w:shd w:val="clear" w:color="auto" w:fill="FFFFFF"/>
        </w:rPr>
        <w:t>22年评审中心和财政局合并办公，“三公”经费</w:t>
      </w:r>
      <w:r>
        <w:rPr>
          <w:rFonts w:hint="eastAsia" w:ascii="方正仿宋_GBK" w:hAnsi="方正仿宋_GBK" w:eastAsia="方正仿宋_GBK" w:cs="方正仿宋_GBK"/>
          <w:color w:val="auto"/>
          <w:sz w:val="32"/>
          <w:szCs w:val="32"/>
          <w:shd w:val="clear" w:color="auto" w:fill="FFFFFF"/>
        </w:rPr>
        <w:t>在财政局（本级）支出。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公务接待费0.00万元，主</w:t>
      </w:r>
      <w:r>
        <w:rPr>
          <w:rFonts w:ascii="方正仿宋_GBK" w:hAnsi="方正仿宋_GBK" w:eastAsia="方正仿宋_GBK" w:cs="方正仿宋_GBK"/>
          <w:color w:val="auto"/>
          <w:sz w:val="32"/>
          <w:szCs w:val="32"/>
          <w:shd w:val="clear" w:color="auto" w:fill="FFFFFF"/>
        </w:rPr>
        <w:t>要用于</w:t>
      </w:r>
      <w:r>
        <w:rPr>
          <w:rFonts w:hint="eastAsia" w:ascii="方正仿宋_GBK" w:hAnsi="方正仿宋_GBK" w:eastAsia="方正仿宋_GBK" w:cs="方正仿宋_GBK"/>
          <w:color w:val="auto"/>
          <w:sz w:val="32"/>
          <w:szCs w:val="32"/>
          <w:shd w:val="clear" w:color="auto" w:fill="FFFFFF"/>
        </w:rPr>
        <w:t>接待国内其他省、市、区、县单位到我部学习、考察、调研</w:t>
      </w:r>
      <w:bookmarkStart w:id="0" w:name="_GoBack"/>
      <w:bookmarkEnd w:id="0"/>
      <w:r>
        <w:rPr>
          <w:rFonts w:hint="eastAsia" w:ascii="方正仿宋_GBK" w:hAnsi="方正仿宋_GBK" w:eastAsia="方正仿宋_GBK" w:cs="方正仿宋_GBK"/>
          <w:color w:val="auto"/>
          <w:sz w:val="32"/>
          <w:szCs w:val="32"/>
          <w:shd w:val="clear" w:color="auto" w:fill="FFFFFF"/>
        </w:rPr>
        <w:t>等工作，接受相关部门检查指导督导工作发生的接待支出</w:t>
      </w:r>
      <w:r>
        <w:rPr>
          <w:rFonts w:ascii="方正仿宋_GBK" w:hAnsi="方正仿宋_GBK" w:eastAsia="方正仿宋_GBK" w:cs="方正仿宋_GBK"/>
          <w:color w:val="auto"/>
          <w:sz w:val="32"/>
          <w:szCs w:val="32"/>
          <w:shd w:val="clear" w:color="auto" w:fill="FFFFFF"/>
        </w:rPr>
        <w:t>。费用支出较年初预算数减少0.30万元，下降100.00%，主要原因是</w:t>
      </w:r>
      <w:r>
        <w:rPr>
          <w:rFonts w:hint="eastAsia" w:ascii="方正仿宋_GBK" w:hAnsi="方正仿宋_GBK" w:eastAsia="方正仿宋_GBK" w:cs="方正仿宋_GBK"/>
          <w:color w:val="auto"/>
          <w:sz w:val="32"/>
          <w:szCs w:val="32"/>
          <w:shd w:val="clear" w:color="auto" w:fill="FFFFFF"/>
          <w:lang w:val="en-US" w:eastAsia="zh-CN"/>
        </w:rPr>
        <w:t>23年未安排公务接待</w:t>
      </w:r>
      <w:r>
        <w:rPr>
          <w:rFonts w:ascii="方正仿宋_GBK" w:hAnsi="方正仿宋_GBK" w:eastAsia="方正仿宋_GBK" w:cs="方正仿宋_GBK"/>
          <w:color w:val="auto"/>
          <w:sz w:val="32"/>
          <w:szCs w:val="32"/>
          <w:shd w:val="clear" w:color="auto" w:fill="FFFFFF"/>
        </w:rPr>
        <w:t>。较上年支出数无增减。</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4.79</w:t>
      </w:r>
      <w:r>
        <w:rPr>
          <w:rFonts w:ascii="方正仿宋_GBK" w:hAnsi="方正仿宋_GBK" w:eastAsia="方正仿宋_GBK" w:cs="方正仿宋_GBK"/>
          <w:color w:val="auto"/>
          <w:sz w:val="32"/>
          <w:szCs w:val="32"/>
          <w:shd w:val="clear" w:color="auto" w:fill="FFFFFF"/>
        </w:rPr>
        <w:t>万元。</w:t>
      </w:r>
    </w:p>
    <w:p>
      <w:pPr>
        <w:pStyle w:val="6"/>
        <w:shd w:val="clear" w:color="auto" w:fill="FFFFFF"/>
        <w:rPr>
          <w:rStyle w:val="10"/>
          <w:rFonts w:hint="default" w:ascii="方正仿宋_GBK" w:hAnsi="方正仿宋_GBK" w:eastAsia="方正仿宋_GBK" w:cs="方正仿宋_GBK"/>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万元，较上年决算数无增减。本年度培训费支出</w:t>
      </w:r>
      <w:r>
        <w:rPr>
          <w:rFonts w:ascii="方正仿宋_GBK" w:hAnsi="方正仿宋_GBK" w:eastAsia="方正仿宋_GBK" w:cs="方正仿宋_GBK"/>
          <w:color w:val="auto"/>
          <w:sz w:val="32"/>
          <w:szCs w:val="32"/>
        </w:rPr>
        <w:t>1.47</w:t>
      </w:r>
      <w:r>
        <w:rPr>
          <w:rFonts w:ascii="方正仿宋_GBK" w:hAnsi="方正仿宋_GBK" w:eastAsia="方正仿宋_GBK" w:cs="方正仿宋_GBK"/>
          <w:color w:val="auto"/>
          <w:sz w:val="32"/>
          <w:szCs w:val="32"/>
          <w:shd w:val="clear" w:color="auto" w:fill="FFFFFF"/>
        </w:rPr>
        <w:t>万元，较上年决算数增加1.23万元，增长512.50%，主要原因是</w:t>
      </w:r>
      <w:r>
        <w:rPr>
          <w:rFonts w:hint="eastAsia" w:ascii="方正仿宋_GBK" w:hAnsi="方正仿宋_GBK" w:eastAsia="方正仿宋_GBK" w:cs="方正仿宋_GBK"/>
          <w:color w:val="auto"/>
          <w:sz w:val="32"/>
          <w:szCs w:val="32"/>
          <w:shd w:val="clear" w:color="auto" w:fill="FFFFFF"/>
        </w:rPr>
        <w:t>22年评审中心和财政局合并办公，</w:t>
      </w:r>
      <w:r>
        <w:rPr>
          <w:rFonts w:hint="eastAsia" w:ascii="方正仿宋_GBK" w:hAnsi="方正仿宋_GBK" w:eastAsia="方正仿宋_GBK" w:cs="方正仿宋_GBK"/>
          <w:color w:val="auto"/>
          <w:sz w:val="32"/>
          <w:szCs w:val="32"/>
          <w:shd w:val="clear" w:color="auto" w:fill="FFFFFF"/>
          <w:lang w:val="en-US" w:eastAsia="zh-CN"/>
        </w:rPr>
        <w:t>培训费</w:t>
      </w:r>
      <w:r>
        <w:rPr>
          <w:rFonts w:hint="eastAsia" w:ascii="方正仿宋_GBK" w:hAnsi="方正仿宋_GBK" w:eastAsia="方正仿宋_GBK" w:cs="方正仿宋_GBK"/>
          <w:color w:val="auto"/>
          <w:sz w:val="32"/>
          <w:szCs w:val="32"/>
          <w:shd w:val="clear" w:color="auto" w:fill="FFFFFF"/>
        </w:rPr>
        <w:t>在财政局（本级）支出。</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截至2023年12月31日，本单位共有车辆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auto"/>
          <w:sz w:val="32"/>
          <w:szCs w:val="32"/>
          <w:shd w:val="clear" w:color="auto" w:fill="FFFFFF"/>
        </w:rPr>
        <w:t>2023年度我单位未发生政府采购事项，无相关经费支</w:t>
      </w:r>
      <w:r>
        <w:rPr>
          <w:rFonts w:ascii="方正仿宋_GBK" w:hAnsi="方正仿宋_GBK" w:eastAsia="方正仿宋_GBK" w:cs="方正仿宋_GBK"/>
          <w:sz w:val="32"/>
          <w:szCs w:val="32"/>
          <w:shd w:val="clear" w:color="auto" w:fill="FFFFFF"/>
        </w:rPr>
        <w:t>出。</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6"/>
        <w:tabs>
          <w:tab w:val="center" w:pos="4153"/>
          <w:tab w:val="left" w:pos="7275"/>
        </w:tabs>
        <w:spacing w:line="596" w:lineRule="exact"/>
        <w:ind w:firstLine="643"/>
        <w:rPr>
          <w:rFonts w:ascii="方正仿宋_GBK" w:hAnsi="宋体" w:eastAsia="方正仿宋_GBK" w:cs="宋体"/>
          <w:kern w:val="0"/>
          <w:sz w:val="32"/>
          <w:szCs w:val="32"/>
        </w:rPr>
      </w:pPr>
      <w:r>
        <w:rPr>
          <w:rFonts w:hint="eastAsia" w:ascii="方正仿宋_GBK" w:hAnsi="宋体" w:eastAsia="方正仿宋_GBK" w:cs="宋体"/>
          <w:b/>
          <w:kern w:val="0"/>
          <w:sz w:val="32"/>
          <w:szCs w:val="32"/>
        </w:rPr>
        <w:t>（一）单位自评情况</w:t>
      </w:r>
    </w:p>
    <w:p>
      <w:pPr>
        <w:pStyle w:val="16"/>
        <w:tabs>
          <w:tab w:val="center" w:pos="4153"/>
          <w:tab w:val="left" w:pos="7275"/>
        </w:tabs>
        <w:spacing w:line="596" w:lineRule="exact"/>
        <w:ind w:firstLine="640"/>
        <w:rPr>
          <w:rFonts w:hint="default" w:ascii="方正仿宋_GBK" w:hAnsi="宋体" w:eastAsia="方正仿宋_GBK" w:cs="宋体"/>
          <w:color w:val="auto"/>
          <w:kern w:val="0"/>
          <w:sz w:val="32"/>
          <w:szCs w:val="32"/>
          <w:lang w:val="en-US" w:eastAsia="zh-CN"/>
        </w:rPr>
      </w:pPr>
      <w:r>
        <w:rPr>
          <w:rFonts w:hint="eastAsia" w:ascii="方正仿宋_GBK" w:hAnsi="宋体" w:eastAsia="方正仿宋_GBK" w:cs="宋体"/>
          <w:color w:val="auto"/>
          <w:kern w:val="0"/>
          <w:sz w:val="32"/>
          <w:szCs w:val="32"/>
          <w:lang w:eastAsia="zh-CN"/>
        </w:rPr>
        <w:t>根据预算绩效管理要求，我单位对</w:t>
      </w:r>
      <w:r>
        <w:rPr>
          <w:rFonts w:hint="eastAsia" w:ascii="方正仿宋_GBK" w:eastAsia="方正仿宋_GBK" w:cs="宋体"/>
          <w:color w:val="auto"/>
          <w:kern w:val="0"/>
          <w:sz w:val="32"/>
          <w:szCs w:val="32"/>
          <w:lang w:val="en-US" w:eastAsia="zh-CN"/>
        </w:rPr>
        <w:t>0</w:t>
      </w:r>
      <w:r>
        <w:rPr>
          <w:rFonts w:hint="eastAsia" w:ascii="方正仿宋_GBK" w:hAnsi="宋体" w:eastAsia="方正仿宋_GBK" w:cs="宋体"/>
          <w:color w:val="auto"/>
          <w:kern w:val="0"/>
          <w:sz w:val="32"/>
          <w:szCs w:val="32"/>
        </w:rPr>
        <w:t>个</w:t>
      </w:r>
      <w:r>
        <w:rPr>
          <w:rFonts w:hint="eastAsia" w:ascii="方正仿宋_GBK" w:hAnsi="宋体" w:eastAsia="方正仿宋_GBK" w:cs="宋体"/>
          <w:color w:val="auto"/>
          <w:kern w:val="0"/>
          <w:sz w:val="32"/>
          <w:szCs w:val="32"/>
          <w:lang w:eastAsia="zh-CN"/>
        </w:rPr>
        <w:t>重点专项</w:t>
      </w:r>
      <w:r>
        <w:rPr>
          <w:rFonts w:hint="eastAsia" w:ascii="方正仿宋_GBK" w:hAnsi="宋体" w:eastAsia="方正仿宋_GBK" w:cs="宋体"/>
          <w:color w:val="auto"/>
          <w:kern w:val="0"/>
          <w:sz w:val="32"/>
          <w:szCs w:val="32"/>
        </w:rPr>
        <w:t>项目</w:t>
      </w:r>
      <w:r>
        <w:rPr>
          <w:rFonts w:hint="eastAsia" w:ascii="方正仿宋_GBK" w:hAnsi="宋体" w:eastAsia="方正仿宋_GBK" w:cs="宋体"/>
          <w:color w:val="auto"/>
          <w:kern w:val="0"/>
          <w:sz w:val="32"/>
          <w:szCs w:val="32"/>
          <w:lang w:eastAsia="zh-CN"/>
        </w:rPr>
        <w:t>、</w:t>
      </w:r>
      <w:r>
        <w:rPr>
          <w:rFonts w:hint="eastAsia" w:ascii="方正仿宋_GBK" w:eastAsia="方正仿宋_GBK" w:cs="宋体"/>
          <w:color w:val="auto"/>
          <w:kern w:val="0"/>
          <w:sz w:val="32"/>
          <w:szCs w:val="32"/>
          <w:lang w:val="en-US" w:eastAsia="zh-CN"/>
        </w:rPr>
        <w:t>2</w:t>
      </w:r>
      <w:r>
        <w:rPr>
          <w:rFonts w:hint="eastAsia" w:ascii="方正仿宋_GBK" w:hAnsi="宋体" w:eastAsia="方正仿宋_GBK" w:cs="宋体"/>
          <w:color w:val="auto"/>
          <w:kern w:val="0"/>
          <w:sz w:val="32"/>
          <w:szCs w:val="32"/>
          <w:lang w:val="en-US" w:eastAsia="zh-CN"/>
        </w:rPr>
        <w:t>个一般性项目开展了绩效自评，涉及财政拨款项目支出1627.98万元。</w:t>
      </w:r>
    </w:p>
    <w:p>
      <w:pPr>
        <w:pStyle w:val="16"/>
        <w:tabs>
          <w:tab w:val="center" w:pos="4153"/>
          <w:tab w:val="left" w:pos="7275"/>
        </w:tabs>
        <w:spacing w:line="596" w:lineRule="exact"/>
        <w:ind w:firstLine="643"/>
        <w:rPr>
          <w:rFonts w:hint="eastAsia" w:ascii="方正仿宋_GBK" w:hAnsi="宋体" w:eastAsia="方正仿宋_GBK" w:cs="宋体"/>
          <w:kern w:val="0"/>
          <w:sz w:val="32"/>
          <w:szCs w:val="32"/>
          <w:lang w:eastAsia="zh-CN"/>
        </w:rPr>
      </w:pPr>
      <w:r>
        <w:rPr>
          <w:rFonts w:hint="eastAsia" w:ascii="方正仿宋_GBK" w:hAnsi="宋体" w:eastAsia="方正仿宋_GBK" w:cs="宋体"/>
          <w:b/>
          <w:kern w:val="0"/>
          <w:sz w:val="32"/>
          <w:szCs w:val="32"/>
        </w:rPr>
        <w:t>（</w:t>
      </w:r>
      <w:r>
        <w:rPr>
          <w:rFonts w:hint="eastAsia" w:ascii="方正仿宋_GBK" w:hAnsi="宋体" w:eastAsia="方正仿宋_GBK" w:cs="宋体"/>
          <w:b/>
          <w:kern w:val="0"/>
          <w:sz w:val="32"/>
          <w:szCs w:val="32"/>
          <w:lang w:eastAsia="zh-CN"/>
        </w:rPr>
        <w:t>二</w:t>
      </w:r>
      <w:r>
        <w:rPr>
          <w:rFonts w:hint="eastAsia" w:ascii="方正仿宋_GBK" w:hAnsi="宋体" w:eastAsia="方正仿宋_GBK" w:cs="宋体"/>
          <w:b/>
          <w:kern w:val="0"/>
          <w:sz w:val="32"/>
          <w:szCs w:val="32"/>
        </w:rPr>
        <w:t>）</w:t>
      </w:r>
      <w:r>
        <w:rPr>
          <w:rFonts w:hint="eastAsia" w:ascii="方正仿宋_GBK" w:hAnsi="宋体" w:eastAsia="方正仿宋_GBK" w:cs="宋体"/>
          <w:b/>
          <w:kern w:val="0"/>
          <w:sz w:val="32"/>
          <w:szCs w:val="32"/>
          <w:lang w:eastAsia="zh-CN"/>
        </w:rPr>
        <w:t>绩效自评结果</w:t>
      </w:r>
    </w:p>
    <w:p>
      <w:pPr>
        <w:pStyle w:val="16"/>
        <w:tabs>
          <w:tab w:val="center" w:pos="4153"/>
          <w:tab w:val="left" w:pos="7275"/>
        </w:tabs>
        <w:spacing w:line="596" w:lineRule="exact"/>
        <w:ind w:firstLine="64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一般性</w:t>
      </w:r>
      <w:r>
        <w:rPr>
          <w:rFonts w:hint="eastAsia" w:ascii="方正仿宋_GBK" w:hAnsi="宋体" w:eastAsia="方正仿宋_GBK" w:cs="宋体"/>
          <w:kern w:val="0"/>
          <w:sz w:val="32"/>
          <w:szCs w:val="32"/>
        </w:rPr>
        <w:t>项目</w:t>
      </w:r>
      <w:r>
        <w:rPr>
          <w:rFonts w:hint="eastAsia" w:ascii="方正仿宋_GBK" w:hAnsi="宋体" w:eastAsia="方正仿宋_GBK" w:cs="宋体"/>
          <w:kern w:val="0"/>
          <w:sz w:val="32"/>
          <w:szCs w:val="32"/>
          <w:lang w:eastAsia="zh-CN"/>
        </w:rPr>
        <w:t>绩效</w:t>
      </w:r>
      <w:r>
        <w:rPr>
          <w:rFonts w:hint="eastAsia" w:ascii="方正仿宋_GBK" w:hAnsi="宋体" w:eastAsia="方正仿宋_GBK" w:cs="宋体"/>
          <w:kern w:val="0"/>
          <w:sz w:val="32"/>
          <w:szCs w:val="32"/>
        </w:rPr>
        <w:t>自评表表样：</w:t>
      </w:r>
    </w:p>
    <w:tbl>
      <w:tblPr>
        <w:tblStyle w:val="7"/>
        <w:tblW w:w="8355" w:type="dxa"/>
        <w:tblInd w:w="93" w:type="dxa"/>
        <w:tblLayout w:type="fixed"/>
        <w:tblCellMar>
          <w:top w:w="0" w:type="dxa"/>
          <w:left w:w="108" w:type="dxa"/>
          <w:bottom w:w="0" w:type="dxa"/>
          <w:right w:w="108" w:type="dxa"/>
        </w:tblCellMar>
      </w:tblPr>
      <w:tblGrid>
        <w:gridCol w:w="600"/>
        <w:gridCol w:w="750"/>
        <w:gridCol w:w="993"/>
        <w:gridCol w:w="765"/>
        <w:gridCol w:w="735"/>
        <w:gridCol w:w="675"/>
        <w:gridCol w:w="705"/>
        <w:gridCol w:w="777"/>
        <w:gridCol w:w="780"/>
        <w:gridCol w:w="795"/>
        <w:gridCol w:w="780"/>
      </w:tblGrid>
      <w:tr>
        <w:tblPrEx>
          <w:tblLayout w:type="fixed"/>
          <w:tblCellMar>
            <w:top w:w="0" w:type="dxa"/>
            <w:left w:w="108" w:type="dxa"/>
            <w:bottom w:w="0" w:type="dxa"/>
            <w:right w:w="108" w:type="dxa"/>
          </w:tblCellMar>
        </w:tblPrEx>
        <w:trPr>
          <w:trHeight w:val="780" w:hRule="atLeast"/>
        </w:trPr>
        <w:tc>
          <w:tcPr>
            <w:tcW w:w="8355" w:type="dxa"/>
            <w:gridSpan w:val="11"/>
            <w:tcBorders>
              <w:top w:val="nil"/>
              <w:left w:val="nil"/>
              <w:bottom w:val="single" w:color="000000" w:sz="4" w:space="0"/>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lang w:bidi="ar"/>
              </w:rPr>
              <w:t>202</w:t>
            </w:r>
            <w:r>
              <w:rPr>
                <w:rFonts w:hint="eastAsia" w:ascii="方正小标宋_GBK" w:hAnsi="方正小标宋_GBK" w:eastAsia="方正小标宋_GBK" w:cs="方正小标宋_GBK"/>
                <w:color w:val="000000"/>
                <w:kern w:val="0"/>
                <w:sz w:val="36"/>
                <w:szCs w:val="36"/>
                <w:lang w:val="en-US" w:eastAsia="zh-CN" w:bidi="ar"/>
              </w:rPr>
              <w:t>3</w:t>
            </w:r>
            <w:r>
              <w:rPr>
                <w:rFonts w:hint="eastAsia" w:ascii="方正小标宋_GBK" w:hAnsi="方正小标宋_GBK" w:eastAsia="方正小标宋_GBK" w:cs="方正小标宋_GBK"/>
                <w:color w:val="000000"/>
                <w:kern w:val="0"/>
                <w:sz w:val="36"/>
                <w:szCs w:val="36"/>
                <w:lang w:bidi="ar"/>
              </w:rPr>
              <w:t>年度</w:t>
            </w:r>
            <w:r>
              <w:rPr>
                <w:rFonts w:hint="eastAsia" w:ascii="方正小标宋_GBK" w:hAnsi="方正小标宋_GBK" w:eastAsia="方正小标宋_GBK" w:cs="方正小标宋_GBK"/>
                <w:color w:val="000000"/>
                <w:kern w:val="0"/>
                <w:sz w:val="36"/>
                <w:szCs w:val="36"/>
                <w:lang w:eastAsia="zh-CN" w:bidi="ar"/>
              </w:rPr>
              <w:t>一般性</w:t>
            </w:r>
            <w:r>
              <w:rPr>
                <w:rFonts w:hint="eastAsia" w:ascii="方正小标宋_GBK" w:hAnsi="方正小标宋_GBK" w:eastAsia="方正小标宋_GBK" w:cs="方正小标宋_GBK"/>
                <w:color w:val="000000"/>
                <w:kern w:val="0"/>
                <w:sz w:val="36"/>
                <w:szCs w:val="36"/>
                <w:lang w:bidi="ar"/>
              </w:rPr>
              <w:t>项目支出绩效自评表</w:t>
            </w:r>
          </w:p>
        </w:tc>
      </w:tr>
      <w:tr>
        <w:tblPrEx>
          <w:tblLayout w:type="fixed"/>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项目名称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指标性质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指标值</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计量单位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指标权重</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全年完成值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说明</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自评得分</w:t>
            </w:r>
          </w:p>
        </w:tc>
      </w:tr>
      <w:tr>
        <w:tblPrEx>
          <w:tblLayout w:type="fixed"/>
          <w:tblCellMar>
            <w:top w:w="0" w:type="dxa"/>
            <w:left w:w="108" w:type="dxa"/>
            <w:bottom w:w="0" w:type="dxa"/>
            <w:right w:w="108" w:type="dxa"/>
          </w:tblCellMar>
        </w:tblPrEx>
        <w:trPr>
          <w:trHeight w:val="432" w:hRule="atLeast"/>
        </w:trPr>
        <w:tc>
          <w:tcPr>
            <w:tcW w:w="600" w:type="dxa"/>
            <w:vMerge w:val="restar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r>
              <w:rPr>
                <w:color w:val="000000"/>
                <w:kern w:val="0"/>
                <w:sz w:val="22"/>
                <w:lang w:bidi="ar"/>
              </w:rPr>
              <w:t>1</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财政投资评审经费</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cs="宋体"/>
                <w:color w:val="000000"/>
                <w:sz w:val="22"/>
                <w:lang w:val="en-US" w:eastAsia="zh-CN"/>
              </w:rPr>
            </w:pPr>
            <w:r>
              <w:rPr>
                <w:rFonts w:hint="eastAsia" w:cs="宋体"/>
                <w:color w:val="000000"/>
                <w:sz w:val="18"/>
                <w:szCs w:val="20"/>
                <w:lang w:val="en-US" w:eastAsia="zh-CN"/>
              </w:rPr>
              <w:t>年度预算执行率</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4"/>
                <w:lang w:val="en-US" w:eastAsia="zh-CN" w:bidi="ar-SA"/>
              </w:rPr>
            </w:pPr>
            <w:r>
              <w:rPr>
                <w:rFonts w:hint="eastAsia" w:cs="宋体"/>
                <w:color w:val="000000"/>
                <w:sz w:val="22"/>
                <w:szCs w:val="24"/>
                <w:lang w:val="en-US" w:eastAsia="zh-CN" w:bidi="ar-SA"/>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4"/>
                <w:lang w:val="en-US" w:eastAsia="zh-CN" w:bidi="ar-SA"/>
              </w:rPr>
            </w:pPr>
            <w:r>
              <w:rPr>
                <w:rFonts w:hint="eastAsia" w:cs="宋体"/>
                <w:color w:val="000000"/>
                <w:sz w:val="22"/>
                <w:szCs w:val="24"/>
                <w:lang w:val="en-US" w:eastAsia="zh-CN" w:bidi="ar-SA"/>
              </w:rPr>
              <w:t>100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4"/>
                <w:lang w:val="en-US" w:eastAsia="zh-CN" w:bidi="ar-SA"/>
              </w:rPr>
            </w:pPr>
            <w:r>
              <w:rPr>
                <w:rFonts w:hint="eastAsia" w:cs="宋体"/>
                <w:color w:val="000000"/>
                <w:sz w:val="22"/>
                <w:szCs w:val="24"/>
                <w:lang w:val="en-US" w:eastAsia="zh-CN" w:bidi="ar-SA"/>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color w:val="000000"/>
                <w:sz w:val="22"/>
                <w:szCs w:val="24"/>
                <w:lang w:val="en-US" w:eastAsia="zh-CN" w:bidi="ar-SA"/>
              </w:rPr>
            </w:pPr>
            <w:r>
              <w:rPr>
                <w:rFonts w:hint="eastAsia" w:cs="宋体"/>
                <w:color w:val="000000"/>
                <w:sz w:val="22"/>
                <w:szCs w:val="24"/>
                <w:lang w:val="en-US" w:eastAsia="zh-CN" w:bidi="ar-SA"/>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color w:val="000000"/>
                <w:sz w:val="22"/>
                <w:lang w:val="en-US" w:eastAsia="zh-CN"/>
              </w:rPr>
            </w:pPr>
            <w:r>
              <w:rPr>
                <w:rFonts w:hint="eastAsia" w:cs="宋体"/>
                <w:color w:val="000000"/>
                <w:sz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color w:val="000000"/>
                <w:sz w:val="22"/>
                <w:lang w:val="en-US" w:eastAsia="zh-CN"/>
              </w:rPr>
            </w:pPr>
            <w:r>
              <w:rPr>
                <w:rFonts w:hint="eastAsia" w:cs="宋体"/>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lang w:val="en-US" w:eastAsia="zh-CN"/>
              </w:rPr>
            </w:pPr>
            <w:r>
              <w:rPr>
                <w:rFonts w:hint="eastAsia" w:cs="宋体"/>
                <w:color w:val="000000"/>
                <w:sz w:val="22"/>
                <w:lang w:val="en-US" w:eastAsia="zh-CN"/>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完成审结项目相关费用结算</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按时结算</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40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40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推进万州投资评审工作顺利进行</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顺利进行</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40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40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被评审单位对评审结果的满意度</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85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90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restar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r>
              <w:rPr>
                <w:rFonts w:hint="eastAsia"/>
                <w:color w:val="000000"/>
                <w:kern w:val="0"/>
                <w:sz w:val="22"/>
                <w:lang w:bidi="ar"/>
              </w:rPr>
              <w:t>2</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r>
              <w:rPr>
                <w:rFonts w:hint="eastAsia" w:ascii="宋体" w:hAnsi="宋体" w:cs="宋体"/>
                <w:color w:val="000000"/>
                <w:sz w:val="22"/>
              </w:rPr>
              <w:t>财政投资评审外聘机构专家评审经费</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2"/>
                <w:szCs w:val="24"/>
                <w:lang w:val="en-US" w:eastAsia="zh-CN" w:bidi="ar-SA"/>
              </w:rPr>
            </w:pPr>
            <w:r>
              <w:rPr>
                <w:rFonts w:hint="eastAsia" w:ascii="宋体" w:hAnsi="宋体" w:eastAsia="宋体" w:cs="宋体"/>
                <w:color w:val="000000"/>
                <w:kern w:val="0"/>
                <w:sz w:val="18"/>
                <w:szCs w:val="18"/>
                <w:lang w:val="en-US" w:eastAsia="zh-CN" w:bidi="ar"/>
              </w:rPr>
              <w:t>年度预算执行率</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2"/>
                <w:szCs w:val="24"/>
                <w:lang w:val="en-US" w:eastAsia="zh-CN" w:bidi="ar-SA"/>
              </w:rPr>
            </w:pPr>
            <w:r>
              <w:rPr>
                <w:rFonts w:hint="eastAsia" w:ascii="宋体" w:hAnsi="宋体" w:eastAsia="宋体" w:cs="宋体"/>
                <w:color w:val="000000"/>
                <w:kern w:val="0"/>
                <w:sz w:val="22"/>
                <w:szCs w:val="22"/>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2"/>
                <w:szCs w:val="24"/>
                <w:lang w:val="en-US" w:eastAsia="zh-CN" w:bidi="ar-SA"/>
              </w:rPr>
            </w:pPr>
            <w:r>
              <w:rPr>
                <w:rFonts w:hint="eastAsia" w:ascii="宋体" w:hAnsi="宋体" w:eastAsia="宋体" w:cs="宋体"/>
                <w:color w:val="000000"/>
                <w:kern w:val="0"/>
                <w:sz w:val="22"/>
                <w:szCs w:val="22"/>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2"/>
                <w:szCs w:val="24"/>
                <w:lang w:val="en-US" w:eastAsia="zh-CN" w:bidi="ar-SA"/>
              </w:rPr>
            </w:pPr>
            <w:r>
              <w:rPr>
                <w:rFonts w:hint="eastAsia" w:ascii="宋体" w:hAnsi="宋体" w:eastAsia="宋体" w:cs="宋体"/>
                <w:color w:val="000000"/>
                <w:kern w:val="0"/>
                <w:sz w:val="22"/>
                <w:szCs w:val="22"/>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leftChars="0" w:right="0" w:rightChars="0"/>
              <w:jc w:val="center"/>
              <w:rPr>
                <w:rFonts w:hint="eastAsia" w:ascii="宋体" w:hAnsi="宋体" w:eastAsia="宋体" w:cs="宋体"/>
                <w:color w:val="000000"/>
                <w:sz w:val="22"/>
                <w:szCs w:val="24"/>
                <w:lang w:val="en-US" w:eastAsia="zh-CN" w:bidi="ar-SA"/>
              </w:rPr>
            </w:pPr>
            <w:r>
              <w:rPr>
                <w:rFonts w:hint="eastAsia" w:ascii="宋体" w:hAnsi="宋体" w:eastAsia="宋体" w:cs="宋体"/>
                <w:color w:val="000000"/>
                <w:kern w:val="0"/>
                <w:sz w:val="22"/>
                <w:szCs w:val="22"/>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leftChars="0" w:right="0" w:rightChars="0"/>
              <w:jc w:val="center"/>
              <w:rPr>
                <w:rFonts w:hint="eastAsia" w:ascii="宋体" w:hAnsi="宋体" w:cs="宋体"/>
                <w:color w:val="000000"/>
                <w:sz w:val="22"/>
              </w:rPr>
            </w:pPr>
            <w:r>
              <w:rPr>
                <w:rFonts w:hint="eastAsia" w:ascii="宋体" w:hAnsi="宋体" w:eastAsia="宋体" w:cs="宋体"/>
                <w:color w:val="000000"/>
                <w:kern w:val="0"/>
                <w:sz w:val="22"/>
                <w:szCs w:val="22"/>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leftChars="0" w:right="0" w:rightChars="0"/>
              <w:jc w:val="center"/>
              <w:rPr>
                <w:rFonts w:hint="eastAsia" w:ascii="宋体" w:hAnsi="宋体" w:cs="宋体"/>
                <w:color w:val="000000"/>
                <w:sz w:val="22"/>
              </w:rPr>
            </w:pPr>
            <w:r>
              <w:rPr>
                <w:rFonts w:hint="eastAsia" w:ascii="宋体" w:hAnsi="宋体" w:eastAsia="宋体" w:cs="宋体"/>
                <w:color w:val="000000"/>
                <w:kern w:val="0"/>
                <w:sz w:val="22"/>
                <w:szCs w:val="22"/>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lang w:val="en-US" w:eastAsia="zh-CN"/>
              </w:rPr>
            </w:pPr>
            <w:r>
              <w:rPr>
                <w:rFonts w:hint="eastAsia" w:cs="宋体"/>
                <w:color w:val="000000"/>
                <w:sz w:val="22"/>
                <w:lang w:val="en-US" w:eastAsia="zh-CN"/>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Lines="0" w:beforeAutospacing="0" w:after="0" w:afterLines="0" w:afterAutospacing="0"/>
              <w:ind w:left="0" w:right="0"/>
              <w:jc w:val="left"/>
              <w:rPr>
                <w:rFonts w:hint="eastAsia" w:ascii="宋体" w:hAnsi="宋体"/>
                <w:color w:val="000000"/>
                <w:sz w:val="22"/>
              </w:rPr>
            </w:pPr>
            <w:r>
              <w:rPr>
                <w:rFonts w:hint="eastAsia" w:ascii="宋体" w:hAnsi="宋体"/>
                <w:color w:val="000000"/>
                <w:sz w:val="22"/>
              </w:rPr>
              <w:t>财务审核项目数量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20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rPr>
            </w:pPr>
            <w:r>
              <w:rPr>
                <w:rFonts w:hint="eastAsia" w:ascii="宋体" w:hAnsi="宋体"/>
                <w:color w:val="000000"/>
                <w:sz w:val="22"/>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sz w:val="22"/>
              </w:rPr>
            </w:pPr>
            <w:r>
              <w:rPr>
                <w:rFonts w:hint="eastAsia" w:ascii="宋体" w:hAnsi="宋体"/>
                <w:color w:val="000000"/>
                <w:sz w:val="22"/>
              </w:rPr>
              <w:t>评审结算项目数量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250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299</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sz w:val="22"/>
              </w:rPr>
            </w:pPr>
            <w:r>
              <w:rPr>
                <w:rFonts w:hint="eastAsia" w:ascii="宋体" w:hAnsi="宋体"/>
                <w:color w:val="000000"/>
                <w:sz w:val="22"/>
              </w:rPr>
              <w:t>评审决算项目数量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200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213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sz w:val="22"/>
              </w:rPr>
            </w:pPr>
            <w:r>
              <w:rPr>
                <w:rFonts w:hint="eastAsia" w:ascii="宋体" w:hAnsi="宋体"/>
                <w:color w:val="000000"/>
                <w:sz w:val="22"/>
              </w:rPr>
              <w:t>净审减率</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3.5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4.53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sz w:val="22"/>
              </w:rPr>
            </w:pPr>
            <w:r>
              <w:rPr>
                <w:rFonts w:hint="eastAsia" w:ascii="宋体" w:hAnsi="宋体"/>
                <w:color w:val="000000"/>
                <w:sz w:val="22"/>
              </w:rPr>
              <w:t>被评审单位对评审结果的认可度</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85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90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sz w:val="22"/>
              </w:rPr>
            </w:pPr>
            <w:r>
              <w:rPr>
                <w:rFonts w:hint="eastAsia" w:ascii="宋体" w:hAnsi="宋体"/>
                <w:color w:val="000000"/>
                <w:sz w:val="22"/>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sz w:val="22"/>
              </w:rPr>
            </w:pPr>
          </w:p>
        </w:tc>
      </w:tr>
    </w:tbl>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绩效评价情况</w:t>
      </w:r>
    </w:p>
    <w:p>
      <w:pPr>
        <w:pStyle w:val="16"/>
        <w:tabs>
          <w:tab w:val="center" w:pos="4153"/>
          <w:tab w:val="left" w:pos="7275"/>
        </w:tabs>
        <w:spacing w:line="596" w:lineRule="exact"/>
        <w:ind w:firstLine="640"/>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6"/>
        <w:tabs>
          <w:tab w:val="center" w:pos="4153"/>
          <w:tab w:val="left" w:pos="7275"/>
        </w:tabs>
        <w:spacing w:line="596" w:lineRule="exact"/>
        <w:ind w:firstLine="640"/>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区财政局未委托第三方对我单位开展绩效评价。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58235517</w:t>
      </w:r>
      <w:r>
        <w:rPr>
          <w:rFonts w:ascii="方正仿宋_GBK" w:hAnsi="方正仿宋_GBK" w:eastAsia="方正仿宋_GBK" w:cs="方正仿宋_GBK"/>
          <w:color w:val="auto"/>
          <w:sz w:val="32"/>
          <w:szCs w:val="32"/>
          <w:shd w:val="clear" w:color="auto" w:fill="FFFFFF"/>
        </w:rPr>
        <w:t>。</w:t>
      </w:r>
    </w:p>
    <w:p>
      <w:pPr>
        <w:pStyle w:val="11"/>
        <w:autoSpaceDE w:val="0"/>
        <w:ind w:firstLine="0" w:firstLineChars="0"/>
        <w:rPr>
          <w:rStyle w:val="10"/>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ascii="Arial" w:hAnsi="Arial"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ascii="Arial" w:hAnsi="Arial"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ascii="Arial" w:hAnsi="Arial" w:cs="Arial"/>
                <w:color w:val="000000"/>
                <w:sz w:val="22"/>
                <w:szCs w:val="22"/>
              </w:rPr>
            </w:pPr>
            <w:r>
              <w:rPr>
                <w:rFonts w:cs="宋体"/>
                <w:sz w:val="20"/>
                <w:szCs w:val="20"/>
              </w:rPr>
              <w:t>公开单位：</w:t>
            </w:r>
            <w:r>
              <w:rPr>
                <w:sz w:val="20"/>
                <w:u w:color="auto"/>
              </w:rPr>
              <w:t>重庆市万州区财政预算绩效管理评审中心</w:t>
            </w:r>
          </w:p>
        </w:tc>
        <w:tc>
          <w:tcPr>
            <w:tcW w:w="480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ascii="Arial" w:hAnsi="Arial"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2,071.36</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1,979.36</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40.79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17.92</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33.29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2,071.36</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2,071.36</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2,071.36</w:t>
            </w:r>
            <w:r>
              <w:rPr>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sz w:val="20"/>
                <w:szCs w:val="20"/>
              </w:rPr>
            </w:pPr>
            <w:r>
              <w:rPr>
                <w:rFonts w:cs="宋体"/>
                <w:color w:val="000000"/>
                <w:sz w:val="20"/>
                <w:szCs w:val="20"/>
              </w:rPr>
              <w:t>2,071.36</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333"/>
        <w:gridCol w:w="1071"/>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525"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r>
              <w:rPr>
                <w:rFonts w:cs="宋体"/>
                <w:sz w:val="20"/>
                <w:szCs w:val="20"/>
              </w:rPr>
              <w:t>公开单位：</w:t>
            </w:r>
            <w:r>
              <w:rPr>
                <w:sz w:val="20"/>
                <w:u w:color="auto"/>
              </w:rPr>
              <w:t>重庆市万州区财政预算绩效管理评审中心</w:t>
            </w: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035"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333"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3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3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3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2,071.36</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2,071.36</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201</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一般公共服务支出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1,979.36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1,979.36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20106</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财政事务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1,979.36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1,979.36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2010608</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财政委托业务支出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1,627.98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1,627.98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2010650</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事业运行</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351.38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351.38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社会保障和就业支出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40.79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40.79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20805</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行政事业单位养老支出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40.35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40.35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2080505</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机关事业单位基本养老保险缴费支出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27.89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27.89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2080506</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机关事业单位职业年金缴费支出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12.46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12.46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20899</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其他社会保障和就业支出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0.44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0.44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2089999</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其他社会保障和就业支出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卫生健康支出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21011</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2101102</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事业单位医疗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14.56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14.56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2101199</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其他行政事业单位医疗支出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221</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住房保障支出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22102</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住房改革支出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2210201</w:t>
            </w:r>
          </w:p>
        </w:tc>
        <w:tc>
          <w:tcPr>
            <w:tcW w:w="3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住房公积金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33.29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33.29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460"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重庆市万州区财政预算绩效管理评审中心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195"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96"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2,071.36</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443.38</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1,627.98</w:t>
            </w: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1,979.36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351.38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1,627.98</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20106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财政事务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1,979.36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351.38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1,627.98</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2010608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财政委托业务支出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1,627.98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1,627.98</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2010650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351.38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351.38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40.79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40.79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11"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40.35</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40.35</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5"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27.89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27.89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12.46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12.46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0.44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0.44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99"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8"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17.92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14.56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14.56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75"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13"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51"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b/>
                <w:color w:val="000000"/>
                <w:sz w:val="20"/>
                <w:szCs w:val="20"/>
              </w:rPr>
              <w:t>33.29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0"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33.29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rFonts w:cs="宋体"/>
                <w:color w:val="000000"/>
                <w:sz w:val="20"/>
                <w:szCs w:val="20"/>
              </w:rPr>
              <w:t>33.29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重庆市万州区财政预算绩效管理评审中心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2,071.36</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1,979.36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1,979.36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40.79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40.79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17.92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17.92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33.29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33.29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2,071.36</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2,071.36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2,071.36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2,071.36</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2,071.36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2,071.36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重庆市万州区财政预算绩效管理评审中心</w:t>
            </w:r>
          </w:p>
        </w:tc>
        <w:tc>
          <w:tcPr>
            <w:tcW w:w="331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2,071.36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443.38</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bCs/>
                <w:color w:val="000000"/>
                <w:sz w:val="20"/>
                <w:szCs w:val="20"/>
              </w:rPr>
              <w:t>1,627.98</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1,979.36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351.38</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1,627.98</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20106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财政事务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1,979.36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351.38</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1,627.98</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2010608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财政委托业务支出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1,627.98</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1,627.98</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2010650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351.38</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351.38</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40.79</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40.79</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40.35</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40.35</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27.89</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27.89</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12.46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12.46</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0.44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0.44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0.44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0.44</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17.92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17.92</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17.92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17.92</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14.56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14.56</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3.36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3.36</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33.29</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33.29</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33.29</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b/>
                <w:color w:val="000000"/>
                <w:sz w:val="20"/>
                <w:szCs w:val="20"/>
              </w:rPr>
              <w:t>33.29</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33.29</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rFonts w:cs="宋体"/>
                <w:color w:val="000000"/>
                <w:sz w:val="20"/>
                <w:szCs w:val="20"/>
              </w:rPr>
              <w:t>33.29</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40" w:lineRule="exact"/>
              <w:ind w:left="0" w:right="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重庆市万州区财政预算绩效管理评审中心</w:t>
            </w:r>
          </w:p>
        </w:tc>
        <w:tc>
          <w:tcPr>
            <w:tcW w:w="192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405.32</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38.06</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85.41</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0.45</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3.41</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218.23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27.89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12.46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14.56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0.44</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1.91</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33.29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7.96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1.67</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1.47</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0.50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1.75</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0.70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4.79</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18.64</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7.86</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spacing w:before="0" w:beforeAutospacing="0" w:after="0" w:afterAutospacing="0" w:line="200" w:lineRule="exact"/>
              <w:ind w:left="0" w:right="0"/>
              <w:jc w:val="right"/>
              <w:textAlignment w:val="bottom"/>
              <w:rPr>
                <w:rFonts w:hint="default" w:cs="宋体"/>
                <w:color w:val="000000"/>
                <w:sz w:val="18"/>
                <w:szCs w:val="18"/>
              </w:rPr>
            </w:pPr>
            <w:r>
              <w:rPr>
                <w:rFonts w:cs="宋体"/>
                <w:color w:val="000000"/>
                <w:sz w:val="18"/>
                <w:szCs w:val="18"/>
              </w:rPr>
              <w:t>405.32</w:t>
            </w:r>
            <w:r>
              <w:rPr>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sz w:val="18"/>
                <w:szCs w:val="18"/>
              </w:rPr>
            </w:pPr>
            <w:r>
              <w:rPr>
                <w:rFonts w:cs="宋体"/>
                <w:color w:val="000000"/>
                <w:sz w:val="18"/>
                <w:szCs w:val="18"/>
              </w:rPr>
              <w:t>38.06</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重庆市万州区财政预算绩效管理评审中心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重庆市万州区财政预算绩效管理评审中心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Layout w:type="fixed"/>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rPr>
                <w:rFonts w:hint="default"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center"/>
              <w:rPr>
                <w:rFonts w:hint="default"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rPr>
                <w:rFonts w:hint="default"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rPr>
                <w:rFonts w:hint="default"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重庆市万州区财政预算绩效管理评审中心</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rPr>
                <w:rFonts w:hint="default"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6"/>
                <w:szCs w:val="16"/>
              </w:rPr>
            </w:pPr>
            <w:r>
              <w:rPr>
                <w:rFonts w:cs="宋体"/>
                <w:b/>
                <w:color w:val="000000"/>
                <w:sz w:val="16"/>
                <w:szCs w:val="16"/>
              </w:rPr>
              <w:t>决算数</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4.79</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4.79</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4.79</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4.79</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4.79</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4.79</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rPr>
                <w:rFonts w:hint="default" w:cs="宋体"/>
                <w:color w:val="000000"/>
                <w:sz w:val="16"/>
                <w:szCs w:val="16"/>
              </w:rPr>
            </w:pPr>
          </w:p>
        </w:tc>
      </w:tr>
      <w:tr>
        <w:tblPrEx>
          <w:tblLayout w:type="fixed"/>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sz w:val="16"/>
                <w:szCs w:val="16"/>
              </w:rPr>
            </w:pPr>
            <w:r>
              <w:rPr>
                <w:rFonts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textAlignment w:val="bottom"/>
              <w:rPr>
                <w:rFonts w:hint="default" w:cs="宋体"/>
                <w:color w:val="000000"/>
                <w:sz w:val="16"/>
                <w:szCs w:val="16"/>
              </w:rPr>
            </w:pPr>
            <w:r>
              <w:rPr>
                <w:rFonts w:cs="宋体"/>
                <w:color w:val="000000"/>
                <w:sz w:val="16"/>
                <w:szCs w:val="16"/>
              </w:rPr>
              <w:t>1.47</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rPr>
                <w:rFonts w:hint="default" w:cs="宋体"/>
                <w:color w:val="000000"/>
                <w:sz w:val="16"/>
                <w:szCs w:val="16"/>
              </w:rPr>
            </w:pPr>
          </w:p>
        </w:tc>
      </w:tr>
    </w:tbl>
    <w:p>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82"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1D3BB7"/>
    <w:rsid w:val="002B254B"/>
    <w:rsid w:val="00466C9B"/>
    <w:rsid w:val="0047082C"/>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54E59"/>
    <w:rsid w:val="12C921C4"/>
    <w:rsid w:val="13871C70"/>
    <w:rsid w:val="13A71CB4"/>
    <w:rsid w:val="13AF1D43"/>
    <w:rsid w:val="13CE1647"/>
    <w:rsid w:val="13FD55AB"/>
    <w:rsid w:val="14200702"/>
    <w:rsid w:val="15FA47E6"/>
    <w:rsid w:val="163A6CEE"/>
    <w:rsid w:val="173708E3"/>
    <w:rsid w:val="17C374FC"/>
    <w:rsid w:val="182E4AB6"/>
    <w:rsid w:val="189079DC"/>
    <w:rsid w:val="189B0D0B"/>
    <w:rsid w:val="18B43F7C"/>
    <w:rsid w:val="194A1770"/>
    <w:rsid w:val="19B906A4"/>
    <w:rsid w:val="1A862D73"/>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7C06FB4"/>
    <w:rsid w:val="29310A5F"/>
    <w:rsid w:val="29C37A35"/>
    <w:rsid w:val="2A076083"/>
    <w:rsid w:val="2A73162E"/>
    <w:rsid w:val="2B167953"/>
    <w:rsid w:val="2B200583"/>
    <w:rsid w:val="2B8209DE"/>
    <w:rsid w:val="2BA66136"/>
    <w:rsid w:val="2C636760"/>
    <w:rsid w:val="2C6762A3"/>
    <w:rsid w:val="2FCA4B37"/>
    <w:rsid w:val="2FE029D7"/>
    <w:rsid w:val="2FF06E00"/>
    <w:rsid w:val="30586FEC"/>
    <w:rsid w:val="315F0B22"/>
    <w:rsid w:val="31D84415"/>
    <w:rsid w:val="32285F6F"/>
    <w:rsid w:val="323968D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3EA79C5"/>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64639A"/>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1E5526"/>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123BAF"/>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4001</Words>
  <Characters>22811</Characters>
  <Lines>1</Lines>
  <Paragraphs>1</Paragraphs>
  <TotalTime>0</TotalTime>
  <ScaleCrop>false</ScaleCrop>
  <LinksUpToDate>false</LinksUpToDate>
  <CharactersWithSpaces>26759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2025-09-09T01:48:45Z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BB46EABDBB2749749395447164B066B3_12</vt:lpwstr>
  </property>
</Properties>
</file>