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重庆市万州区财政局2023年度区级部门决算公开说明</w:t>
      </w:r>
      <w:bookmarkStart w:id="0" w:name="_GoBack"/>
      <w:bookmarkEnd w:id="0"/>
    </w:p>
    <w:p>
      <w:pPr>
        <w:pStyle w:val="6"/>
        <w:shd w:val="clear" w:color="auto" w:fill="FFFFFF"/>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万州区财政局为万州区政府组成部门，主要职能职责是：贯彻执行财税法律、法规、规章和方针政策；拟订和执行财政分配政策和财政管理体制；拟订全区财政发展战略和中长期规划；参与拟订全区经济发展规划，提出运用财政政策实施经济调节的建议，拟订推进统筹城乡改革和发展的财政政策；管理全区财政收支，承担区级各项财政收支管理的责任，负责编制区级年度预决算草案，组织执行区级年度预算，完善转移支付制度；负责政府非税收入管理，负责政府性基金管理，按规定管理行政事业性收费；组织执行国库管理制度、国库集中收付制度；组织实施政府采购制度；组织执行行政事业单位国有资产管理规章制度；负责审核和汇总编制区级国有资本经营预决算草案，执行国有资本经营预算的制度和办法；负责办理和监督区级财政的经济发展支出、政府性投资项目的财政拨款，负责财政投资评审管理工作；会同有关部门管理区级财政社会保障和就业及医疗卫生支出；拟订和执行政府债务管理的制度和政策；负责管理全区会计工作；监督检查财税法律、法规、政策的执行情况。</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shd w:val="clear" w:color="auto" w:fill="FFFFFF"/>
        </w:rPr>
        <w:t>重庆市万州区财政局内设17个职能科室分别是办公室、综合科、税政科、预算科、国库科、行政政法科、教科文科、经建科、生态环境科、资产债务管理科、采购会计监督检查科、农业科、乡财科、社保科、调研科、产业发展科、组织人事科。</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二、部门决算情况说明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2023年度收入总计6651.44万元，支出总计</w:t>
      </w:r>
      <w:r>
        <w:rPr>
          <w:rFonts w:ascii="方正仿宋_GBK" w:hAnsi="方正仿宋_GBK" w:eastAsia="方正仿宋_GBK" w:cs="方正仿宋_GBK"/>
          <w:color w:val="auto"/>
          <w:sz w:val="32"/>
          <w:szCs w:val="32"/>
        </w:rPr>
        <w:t>6651.44</w:t>
      </w:r>
      <w:r>
        <w:rPr>
          <w:rFonts w:ascii="方正仿宋_GBK" w:hAnsi="方正仿宋_GBK" w:eastAsia="方正仿宋_GBK" w:cs="方正仿宋_GBK"/>
          <w:color w:val="auto"/>
          <w:sz w:val="32"/>
          <w:szCs w:val="32"/>
          <w:shd w:val="clear" w:color="auto" w:fill="FFFFFF"/>
        </w:rPr>
        <w:t>万元。收支较上年决算数减少351.46万元，下降5.02%，</w:t>
      </w:r>
      <w:r>
        <w:rPr>
          <w:rFonts w:hint="eastAsia" w:ascii="方正仿宋_GBK" w:hAnsi="方正仿宋_GBK" w:eastAsia="方正仿宋_GBK" w:cs="方正仿宋_GBK"/>
          <w:color w:val="auto"/>
          <w:sz w:val="32"/>
          <w:szCs w:val="32"/>
          <w:shd w:val="clear" w:color="auto" w:fill="FFFFFF"/>
          <w:lang w:eastAsia="zh-CN"/>
        </w:rPr>
        <w:t>主要原因是</w:t>
      </w:r>
      <w:r>
        <w:rPr>
          <w:rFonts w:hint="eastAsia" w:ascii="方正仿宋_GBK" w:hAnsi="方正仿宋_GBK" w:eastAsia="方正仿宋_GBK" w:cs="方正仿宋_GBK"/>
          <w:color w:val="auto"/>
          <w:sz w:val="32"/>
          <w:szCs w:val="32"/>
          <w:shd w:val="clear" w:color="auto" w:fill="FFFFFF"/>
        </w:rPr>
        <w:t>评审中心委托费用减少350.03万元</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2023年度收入合计6651.44万元，较上年决算数减少351.46万元，下降5.02%，主要原因是</w:t>
      </w:r>
      <w:r>
        <w:rPr>
          <w:rFonts w:hint="eastAsia" w:ascii="方正仿宋_GBK" w:hAnsi="方正仿宋_GBK" w:eastAsia="方正仿宋_GBK" w:cs="方正仿宋_GBK"/>
          <w:color w:val="auto"/>
          <w:sz w:val="32"/>
          <w:szCs w:val="32"/>
          <w:shd w:val="clear" w:color="auto" w:fill="FFFFFF"/>
        </w:rPr>
        <w:t>评审中心委托费用减少350.03万元</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6651.44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6651.44</w:t>
      </w:r>
      <w:r>
        <w:rPr>
          <w:rFonts w:ascii="方正仿宋_GBK" w:hAnsi="方正仿宋_GBK" w:eastAsia="方正仿宋_GBK" w:cs="方正仿宋_GBK"/>
          <w:color w:val="auto"/>
          <w:sz w:val="32"/>
          <w:szCs w:val="32"/>
          <w:shd w:val="clear" w:color="auto" w:fill="FFFFFF"/>
        </w:rPr>
        <w:t>万元，较上年决算数减少351.46万元，下降5.02%，主要原因</w:t>
      </w:r>
      <w:r>
        <w:rPr>
          <w:rFonts w:hint="eastAsia" w:ascii="方正仿宋_GBK" w:hAnsi="方正仿宋_GBK" w:eastAsia="方正仿宋_GBK" w:cs="方正仿宋_GBK"/>
          <w:color w:val="auto"/>
          <w:sz w:val="32"/>
          <w:szCs w:val="32"/>
          <w:shd w:val="clear" w:color="auto" w:fill="FFFFFF"/>
        </w:rPr>
        <w:t>是评审中心委托费用减少350.03万元</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4356.32</w:t>
      </w:r>
      <w:r>
        <w:rPr>
          <w:rFonts w:ascii="方正仿宋_GBK" w:hAnsi="方正仿宋_GBK" w:eastAsia="方正仿宋_GBK" w:cs="方正仿宋_GBK"/>
          <w:color w:val="auto"/>
          <w:sz w:val="32"/>
          <w:szCs w:val="32"/>
          <w:shd w:val="clear" w:color="auto" w:fill="FFFFFF"/>
        </w:rPr>
        <w:t>万元，占65.49%；项目支出</w:t>
      </w:r>
      <w:r>
        <w:rPr>
          <w:rFonts w:ascii="方正仿宋_GBK" w:hAnsi="方正仿宋_GBK" w:eastAsia="方正仿宋_GBK" w:cs="方正仿宋_GBK"/>
          <w:color w:val="auto"/>
          <w:sz w:val="32"/>
          <w:szCs w:val="32"/>
        </w:rPr>
        <w:t>2295.12</w:t>
      </w:r>
      <w:r>
        <w:rPr>
          <w:rFonts w:ascii="方正仿宋_GBK" w:hAnsi="方正仿宋_GBK" w:eastAsia="方正仿宋_GBK" w:cs="方正仿宋_GBK"/>
          <w:color w:val="auto"/>
          <w:sz w:val="32"/>
          <w:szCs w:val="32"/>
          <w:shd w:val="clear" w:color="auto" w:fill="FFFFFF"/>
        </w:rPr>
        <w:t>万元，占34.51%；经营支出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万元，0，</w:t>
      </w:r>
      <w:r>
        <w:rPr>
          <w:rFonts w:hint="eastAsia" w:ascii="方正仿宋_GBK" w:hAnsi="方正仿宋_GBK" w:eastAsia="方正仿宋_GBK" w:cs="方正仿宋_GBK"/>
          <w:color w:val="auto"/>
          <w:sz w:val="32"/>
          <w:szCs w:val="32"/>
          <w:shd w:val="clear" w:color="auto" w:fill="FFFFFF"/>
        </w:rPr>
        <w:t>较上年决算数无增减</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2023年度财政拨款收、支总计6651.44万元。与2022年相比，财政拨款收、支总计各减少351.46万元，下降5.02%。主要原因是</w:t>
      </w:r>
      <w:r>
        <w:rPr>
          <w:rFonts w:hint="eastAsia" w:ascii="方正仿宋_GBK" w:hAnsi="方正仿宋_GBK" w:eastAsia="方正仿宋_GBK" w:cs="方正仿宋_GBK"/>
          <w:color w:val="auto"/>
          <w:sz w:val="32"/>
          <w:szCs w:val="32"/>
          <w:shd w:val="clear" w:color="auto" w:fill="FFFFFF"/>
        </w:rPr>
        <w:t>评审中心委托费用减少350.03万元</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6651.44</w:t>
      </w:r>
      <w:r>
        <w:rPr>
          <w:rFonts w:ascii="方正仿宋_GBK" w:hAnsi="方正仿宋_GBK" w:eastAsia="方正仿宋_GBK" w:cs="方正仿宋_GBK"/>
          <w:color w:val="auto"/>
          <w:sz w:val="32"/>
          <w:szCs w:val="32"/>
          <w:shd w:val="clear" w:color="auto" w:fill="FFFFFF"/>
        </w:rPr>
        <w:t>万元，较上年决算数减少351.46万元，下降5.02%。主要原因是</w:t>
      </w:r>
      <w:r>
        <w:rPr>
          <w:rFonts w:hint="eastAsia" w:ascii="方正仿宋_GBK" w:hAnsi="方正仿宋_GBK" w:eastAsia="方正仿宋_GBK" w:cs="方正仿宋_GBK"/>
          <w:color w:val="auto"/>
          <w:sz w:val="32"/>
          <w:szCs w:val="32"/>
          <w:shd w:val="clear" w:color="auto" w:fill="FFFFFF"/>
        </w:rPr>
        <w:t>评审中心委托费用减少350.03万元</w:t>
      </w:r>
      <w:r>
        <w:rPr>
          <w:rFonts w:ascii="方正仿宋_GBK" w:hAnsi="方正仿宋_GBK" w:eastAsia="方正仿宋_GBK" w:cs="方正仿宋_GBK"/>
          <w:color w:val="auto"/>
          <w:sz w:val="32"/>
          <w:szCs w:val="32"/>
          <w:shd w:val="clear" w:color="auto" w:fill="FFFFFF"/>
        </w:rPr>
        <w:t>。较年初预算数增加843.29万元，增长14.52%。主要原因是</w:t>
      </w:r>
      <w:r>
        <w:rPr>
          <w:rFonts w:hint="eastAsia" w:ascii="方正仿宋_GBK" w:hAnsi="方正仿宋_GBK" w:eastAsia="方正仿宋_GBK" w:cs="方正仿宋_GBK"/>
          <w:color w:val="auto"/>
          <w:sz w:val="32"/>
          <w:szCs w:val="32"/>
          <w:shd w:val="clear" w:color="auto" w:fill="FFFFFF"/>
        </w:rPr>
        <w:t>追加健康休养费、年度考核奖、北部新城PPP项目中期评估工作经费、会计职称考试考务经费、财政非税收入征收经费、招商引资奖补工作经费等</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6651.44</w:t>
      </w:r>
      <w:r>
        <w:rPr>
          <w:rFonts w:ascii="方正仿宋_GBK" w:hAnsi="方正仿宋_GBK" w:eastAsia="方正仿宋_GBK" w:cs="方正仿宋_GBK"/>
          <w:color w:val="auto"/>
          <w:sz w:val="32"/>
          <w:szCs w:val="32"/>
          <w:shd w:val="clear" w:color="auto" w:fill="FFFFFF"/>
        </w:rPr>
        <w:t>万元，较上年决算数减少351.46万元，下降5.02%。主要原因是</w:t>
      </w:r>
      <w:r>
        <w:rPr>
          <w:rFonts w:hint="eastAsia" w:ascii="方正仿宋_GBK" w:hAnsi="方正仿宋_GBK" w:eastAsia="方正仿宋_GBK" w:cs="方正仿宋_GBK"/>
          <w:color w:val="auto"/>
          <w:sz w:val="32"/>
          <w:szCs w:val="32"/>
          <w:shd w:val="clear" w:color="auto" w:fill="FFFFFF"/>
        </w:rPr>
        <w:t>评审中心委托费用减少350.03万元</w:t>
      </w:r>
      <w:r>
        <w:rPr>
          <w:rFonts w:ascii="方正仿宋_GBK" w:hAnsi="方正仿宋_GBK" w:eastAsia="方正仿宋_GBK" w:cs="方正仿宋_GBK"/>
          <w:color w:val="auto"/>
          <w:sz w:val="32"/>
          <w:szCs w:val="32"/>
          <w:shd w:val="clear" w:color="auto" w:fill="FFFFFF"/>
        </w:rPr>
        <w:t>。较年初预算数增加843.29万元，增长14.52%。主要原因是</w:t>
      </w:r>
      <w:r>
        <w:rPr>
          <w:rFonts w:hint="eastAsia" w:ascii="方正仿宋_GBK" w:hAnsi="方正仿宋_GBK" w:eastAsia="方正仿宋_GBK" w:cs="方正仿宋_GBK"/>
          <w:color w:val="auto"/>
          <w:sz w:val="32"/>
          <w:szCs w:val="32"/>
          <w:shd w:val="clear" w:color="auto" w:fill="FFFFFF"/>
        </w:rPr>
        <w:t>追加健康休养费、年度考核奖、北部新城PPP项目中期评估工作经费、会计职称考试考务经费、财政非税收入征收经费、招商引资奖补工作经费等</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rPr>
        <w:t>较上年决算数无增减</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5401.32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81.21</w:t>
      </w:r>
      <w:r>
        <w:rPr>
          <w:rFonts w:ascii="方正仿宋_GBK" w:hAnsi="方正仿宋_GBK" w:eastAsia="方正仿宋_GBK" w:cs="方正仿宋_GBK"/>
          <w:color w:val="auto"/>
          <w:sz w:val="32"/>
          <w:szCs w:val="32"/>
          <w:shd w:val="clear" w:color="auto" w:fill="FFFFFF"/>
        </w:rPr>
        <w:t>%，较年初预算数增加886.22万元，增长19.63%，主要原因是</w:t>
      </w:r>
      <w:r>
        <w:rPr>
          <w:rFonts w:hint="eastAsia" w:ascii="方正仿宋_GBK" w:hAnsi="方正仿宋_GBK" w:eastAsia="方正仿宋_GBK" w:cs="方正仿宋_GBK"/>
          <w:color w:val="auto"/>
          <w:sz w:val="32"/>
          <w:szCs w:val="32"/>
          <w:shd w:val="clear" w:color="auto" w:fill="FFFFFF"/>
        </w:rPr>
        <w:t>追加健康休养费、年度考核奖、北部新城PPP项目中期评估工作经费、会计职称考试考务经费、财政非税收入征收经费、招商引资奖补工作经费等。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914.33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13.75</w:t>
      </w:r>
      <w:r>
        <w:rPr>
          <w:rFonts w:ascii="方正仿宋_GBK" w:hAnsi="方正仿宋_GBK" w:eastAsia="方正仿宋_GBK" w:cs="方正仿宋_GBK"/>
          <w:color w:val="auto"/>
          <w:sz w:val="32"/>
          <w:szCs w:val="32"/>
          <w:shd w:val="clear" w:color="auto" w:fill="FFFFFF"/>
        </w:rPr>
        <w:t>%，较年初预算数增加21.69万元，增长2.43%，主要原因是</w:t>
      </w:r>
      <w:r>
        <w:rPr>
          <w:rFonts w:hint="eastAsia" w:ascii="方正仿宋_GBK" w:hAnsi="方正仿宋_GBK" w:eastAsia="方正仿宋_GBK" w:cs="方正仿宋_GBK"/>
          <w:color w:val="auto"/>
          <w:sz w:val="32"/>
          <w:szCs w:val="32"/>
          <w:shd w:val="clear" w:color="auto" w:fill="FFFFFF"/>
        </w:rPr>
        <w:t>人员调进调出、追加健康休养费</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155.22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2.33</w:t>
      </w:r>
      <w:r>
        <w:rPr>
          <w:rFonts w:ascii="方正仿宋_GBK" w:hAnsi="方正仿宋_GBK" w:eastAsia="方正仿宋_GBK" w:cs="方正仿宋_GBK"/>
          <w:color w:val="auto"/>
          <w:sz w:val="32"/>
          <w:szCs w:val="32"/>
          <w:shd w:val="clear" w:color="auto" w:fill="FFFFFF"/>
        </w:rPr>
        <w:t>%，较年初预算数减少19.39万元，下降11.10%，主要原因是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住房保障支出180.57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2.71</w:t>
      </w:r>
      <w:r>
        <w:rPr>
          <w:rFonts w:ascii="方正仿宋_GBK" w:hAnsi="方正仿宋_GBK" w:eastAsia="方正仿宋_GBK" w:cs="方正仿宋_GBK"/>
          <w:color w:val="auto"/>
          <w:sz w:val="32"/>
          <w:szCs w:val="32"/>
          <w:shd w:val="clear" w:color="auto" w:fill="FFFFFF"/>
        </w:rPr>
        <w:t>%，较年初预算数减少45.23万元，下降20.03%，主要原因是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4356.32</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3397.34</w:t>
      </w:r>
      <w:r>
        <w:rPr>
          <w:rFonts w:ascii="方正仿宋_GBK" w:hAnsi="方正仿宋_GBK" w:eastAsia="方正仿宋_GBK" w:cs="方正仿宋_GBK"/>
          <w:color w:val="auto"/>
          <w:sz w:val="32"/>
          <w:szCs w:val="32"/>
          <w:shd w:val="clear" w:color="auto" w:fill="FFFFFF"/>
        </w:rPr>
        <w:t>万元，较上年决算数增加32.36万元，增长0.96%，主要原因是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基本工资、津贴补贴、奖金、社会保障缴费等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958.98</w:t>
      </w:r>
      <w:r>
        <w:rPr>
          <w:rFonts w:ascii="方正仿宋_GBK" w:hAnsi="方正仿宋_GBK" w:eastAsia="方正仿宋_GBK" w:cs="方正仿宋_GBK"/>
          <w:color w:val="auto"/>
          <w:sz w:val="32"/>
          <w:szCs w:val="32"/>
          <w:shd w:val="clear" w:color="auto" w:fill="FFFFFF"/>
        </w:rPr>
        <w:t>万元，较上年决算数减少133.84万元，下降12.25%，主要原因是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办公费、印刷费、水电费、邮电费、物业管理费</w:t>
      </w:r>
      <w:r>
        <w:rPr>
          <w:rFonts w:hint="eastAsia" w:ascii="方正仿宋_GBK" w:hAnsi="方正仿宋_GBK" w:eastAsia="方正仿宋_GBK" w:cs="方正仿宋_GBK"/>
          <w:color w:val="auto"/>
          <w:sz w:val="32"/>
          <w:szCs w:val="32"/>
          <w:shd w:val="clear" w:color="auto" w:fill="FFFFFF"/>
          <w:lang w:eastAsia="zh-CN"/>
        </w:rPr>
        <w:t>、差旅费、维修（护）费、租赁费、劳务费、</w:t>
      </w:r>
      <w:r>
        <w:rPr>
          <w:rFonts w:hint="eastAsia" w:ascii="方正仿宋_GBK" w:hAnsi="方正仿宋_GBK" w:eastAsia="方正仿宋_GBK" w:cs="方正仿宋_GBK"/>
          <w:color w:val="auto"/>
          <w:sz w:val="32"/>
          <w:szCs w:val="32"/>
          <w:shd w:val="clear" w:color="auto" w:fill="FFFFFF"/>
        </w:rPr>
        <w:t>其他交通费、公车运行维护费、培训费、会议费等</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本部门2022年度无政府性基金预算财政拨款收支。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本部门2022年度无国有资本经营财政拨款支出。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23.95</w:t>
      </w:r>
      <w:r>
        <w:rPr>
          <w:rFonts w:ascii="方正仿宋_GBK" w:hAnsi="方正仿宋_GBK" w:eastAsia="方正仿宋_GBK" w:cs="方正仿宋_GBK"/>
          <w:color w:val="auto"/>
          <w:sz w:val="32"/>
          <w:szCs w:val="32"/>
          <w:shd w:val="clear" w:color="auto" w:fill="FFFFFF"/>
        </w:rPr>
        <w:t>万元，较年初预算数减少17.43万元，下降42.12%，主要原因是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。较上年支出数减少4.96万元，下降17.16%，主要原因是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因公出国（境）费用0.00万元，主要是用于因公务原因产生的国际旅费、国外城市间交通费、住宿费、伙食费和其他费用。费用支出较年初预算数无增减。较上年支出数无增减，主要原因是本单位2023年度未安排因公出国（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公务车购置费0.00万元，主要用于公务用车购置价款、车辆购置税和其他相关支出。费用支出较年初预算数无增减。较上年支出数无增减，主要原因是本单位2023年度未安排公务车购置费。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公务车运行维护费</w:t>
      </w:r>
      <w:r>
        <w:rPr>
          <w:rFonts w:ascii="方正仿宋_GBK" w:hAnsi="方正仿宋_GBK" w:eastAsia="方正仿宋_GBK" w:cs="方正仿宋_GBK"/>
          <w:color w:val="auto"/>
          <w:sz w:val="32"/>
          <w:szCs w:val="32"/>
        </w:rPr>
        <w:t>22.61</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机要文件交换、市内因公出行、各项业务检查等工作所需车辆的燃料费、维修费、过桥过路费、保险费等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。费用支出较年初预算数减少15.77万元，下降41.09%，主要原因是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。较上年支出数减少5.40万元，下降19.28%，主要原因是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ascii="方正仿宋_GBK" w:hAnsi="方正仿宋_GBK" w:eastAsia="方正仿宋_GBK" w:cs="方正仿宋_GBK"/>
          <w:color w:val="auto"/>
          <w:sz w:val="32"/>
          <w:szCs w:val="32"/>
        </w:rPr>
        <w:t>1.34</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rPr>
        <w:t>国内其他省、市、区、县单位到我部学习、考察、调研等工作，接受相关部门检查指导督导工作发生的接待支出</w:t>
      </w:r>
      <w:r>
        <w:rPr>
          <w:rFonts w:ascii="方正仿宋_GBK" w:hAnsi="方正仿宋_GBK" w:eastAsia="方正仿宋_GBK" w:cs="方正仿宋_GBK"/>
          <w:color w:val="auto"/>
          <w:sz w:val="32"/>
          <w:szCs w:val="32"/>
          <w:shd w:val="clear" w:color="auto" w:fill="FFFFFF"/>
        </w:rPr>
        <w:t>。费用支出较年初预算数减少1.66万元，下降55.33%，主要原因是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。较上年支出数增加0.44万元，增长48.89%，主要原因是</w:t>
      </w:r>
      <w:r>
        <w:rPr>
          <w:rFonts w:hint="eastAsia" w:ascii="方正仿宋_GBK" w:hAnsi="方正仿宋_GBK" w:eastAsia="方正仿宋_GBK" w:cs="方正仿宋_GBK"/>
          <w:color w:val="auto"/>
          <w:sz w:val="32"/>
          <w:szCs w:val="32"/>
          <w:shd w:val="clear" w:color="auto" w:fill="FFFFFF"/>
        </w:rPr>
        <w:t>2022年受疫情影响，公务接待费较少。</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141</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人。2023年本部门人均接待费</w:t>
      </w:r>
      <w:r>
        <w:rPr>
          <w:rFonts w:ascii="方正仿宋_GBK" w:hAnsi="方正仿宋_GBK" w:eastAsia="方正仿宋_GBK" w:cs="方正仿宋_GBK"/>
          <w:color w:val="auto"/>
          <w:sz w:val="32"/>
          <w:szCs w:val="32"/>
        </w:rPr>
        <w:t>95.34</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4.52</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0.30</w:t>
      </w:r>
      <w:r>
        <w:rPr>
          <w:rFonts w:ascii="方正仿宋_GBK" w:hAnsi="方正仿宋_GBK" w:eastAsia="方正仿宋_GBK" w:cs="方正仿宋_GBK"/>
          <w:color w:val="auto"/>
          <w:sz w:val="32"/>
          <w:szCs w:val="32"/>
          <w:shd w:val="clear" w:color="auto" w:fill="FFFFFF"/>
        </w:rPr>
        <w:t>万元，较上年决算数减少0.52万元，下降63.41%，主要原因是</w:t>
      </w:r>
      <w:r>
        <w:rPr>
          <w:rFonts w:hint="eastAsia" w:ascii="方正仿宋_GBK" w:hAnsi="方正仿宋_GBK" w:eastAsia="方正仿宋_GBK" w:cs="方正仿宋_GBK"/>
          <w:color w:val="auto"/>
          <w:sz w:val="32"/>
          <w:szCs w:val="32"/>
          <w:shd w:val="clear" w:color="auto" w:fill="FFFFFF"/>
          <w:lang w:val="en-US" w:eastAsia="zh-CN"/>
        </w:rPr>
        <w:t>23年会议次数减少</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49.78</w:t>
      </w:r>
      <w:r>
        <w:rPr>
          <w:rFonts w:ascii="方正仿宋_GBK" w:hAnsi="方正仿宋_GBK" w:eastAsia="方正仿宋_GBK" w:cs="方正仿宋_GBK"/>
          <w:color w:val="auto"/>
          <w:sz w:val="32"/>
          <w:szCs w:val="32"/>
          <w:shd w:val="clear" w:color="auto" w:fill="FFFFFF"/>
        </w:rPr>
        <w:t>万元，较上年决算数增加15.40万元，增长44.79%，主要原因是</w:t>
      </w:r>
      <w:r>
        <w:rPr>
          <w:rFonts w:hint="eastAsia" w:ascii="方正仿宋_GBK" w:hAnsi="方正仿宋_GBK" w:eastAsia="方正仿宋_GBK" w:cs="方正仿宋_GBK"/>
          <w:color w:val="auto"/>
          <w:sz w:val="32"/>
          <w:szCs w:val="32"/>
          <w:shd w:val="clear" w:color="auto" w:fill="FFFFFF"/>
        </w:rPr>
        <w:t>受疫情影响，2022年培训次数少</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2023年度本部门机关运行经费支出</w:t>
      </w:r>
      <w:r>
        <w:rPr>
          <w:rFonts w:ascii="方正仿宋_GBK" w:hAnsi="方正仿宋_GBK" w:eastAsia="方正仿宋_GBK" w:cs="方正仿宋_GBK"/>
          <w:color w:val="auto"/>
          <w:sz w:val="32"/>
          <w:szCs w:val="32"/>
        </w:rPr>
        <w:t>920.92</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rPr>
        <w:t>办公费、印刷费、水电费、邮电费、物业管理费、差旅费、维修（护）费、租赁费、劳务费、其他交通费、公车运行维护费、培训费、会议费</w:t>
      </w:r>
      <w:r>
        <w:rPr>
          <w:rFonts w:hint="eastAsia" w:ascii="方正仿宋_GBK" w:hAnsi="方正仿宋_GBK" w:eastAsia="方正仿宋_GBK" w:cs="方正仿宋_GBK"/>
          <w:color w:val="auto"/>
          <w:sz w:val="32"/>
          <w:szCs w:val="32"/>
          <w:shd w:val="clear" w:color="auto" w:fill="FFFFFF"/>
          <w:lang w:val="en-US" w:eastAsia="zh-CN"/>
        </w:rPr>
        <w:t>等</w:t>
      </w:r>
      <w:r>
        <w:rPr>
          <w:rFonts w:ascii="方正仿宋_GBK" w:hAnsi="方正仿宋_GBK" w:eastAsia="方正仿宋_GBK" w:cs="方正仿宋_GBK"/>
          <w:color w:val="auto"/>
          <w:sz w:val="32"/>
          <w:szCs w:val="32"/>
          <w:shd w:val="clear" w:color="auto" w:fill="FFFFFF"/>
        </w:rPr>
        <w:t>。机关运行经费较上年支出数减少147.11万元，下降13.77%，主要原因是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截至2023年12月31日，本部门共有车辆</w:t>
      </w:r>
      <w:r>
        <w:rPr>
          <w:rFonts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2023年度本部门政府采购支出总额</w:t>
      </w:r>
      <w:r>
        <w:rPr>
          <w:rFonts w:ascii="方正仿宋_GBK" w:hAnsi="方正仿宋_GBK" w:eastAsia="方正仿宋_GBK" w:cs="方正仿宋_GBK"/>
          <w:color w:val="auto"/>
          <w:sz w:val="32"/>
          <w:szCs w:val="32"/>
        </w:rPr>
        <w:t>26.70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26.70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26.70万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26.70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rPr>
        <w:t>安可电脑</w:t>
      </w:r>
      <w:r>
        <w:rPr>
          <w:rFonts w:ascii="方正仿宋_GBK" w:hAnsi="方正仿宋_GBK" w:eastAsia="方正仿宋_GBK" w:cs="方正仿宋_GBK"/>
          <w:color w:val="auto"/>
          <w:sz w:val="32"/>
          <w:szCs w:val="32"/>
          <w:shd w:val="clear" w:color="auto" w:fill="FFFFFF"/>
        </w:rPr>
        <w:t>。</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6"/>
        <w:tabs>
          <w:tab w:val="center" w:pos="4153"/>
          <w:tab w:val="left" w:pos="7275"/>
        </w:tabs>
        <w:spacing w:line="596" w:lineRule="exact"/>
        <w:ind w:firstLine="643"/>
        <w:rPr>
          <w:rFonts w:ascii="方正仿宋_GBK" w:hAnsi="宋体" w:eastAsia="方正仿宋_GBK" w:cs="宋体"/>
          <w:kern w:val="0"/>
          <w:sz w:val="32"/>
          <w:szCs w:val="32"/>
          <w:highlight w:val="none"/>
        </w:rPr>
      </w:pPr>
      <w:r>
        <w:rPr>
          <w:rFonts w:hint="eastAsia" w:ascii="方正仿宋_GBK" w:hAnsi="宋体" w:eastAsia="方正仿宋_GBK" w:cs="宋体"/>
          <w:b/>
          <w:kern w:val="0"/>
          <w:sz w:val="32"/>
          <w:szCs w:val="32"/>
          <w:highlight w:val="none"/>
        </w:rPr>
        <w:t>（一）单位自评情况</w:t>
      </w:r>
    </w:p>
    <w:p>
      <w:pPr>
        <w:pStyle w:val="16"/>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根据预算绩效管理要求，我部门组织部门本级及所属单位对</w:t>
      </w:r>
      <w:r>
        <w:rPr>
          <w:rFonts w:hint="eastAsia" w:ascii="方正仿宋_GBK" w:hAnsi="宋体" w:eastAsia="方正仿宋_GBK" w:cs="宋体"/>
          <w:kern w:val="0"/>
          <w:sz w:val="32"/>
          <w:szCs w:val="32"/>
          <w:lang w:eastAsia="zh-CN"/>
        </w:rPr>
        <w:t>部门整体和</w:t>
      </w:r>
      <w:r>
        <w:rPr>
          <w:rFonts w:hint="eastAsia" w:ascii="方正仿宋_GBK" w:eastAsia="方正仿宋_GBK" w:cs="宋体"/>
          <w:kern w:val="0"/>
          <w:sz w:val="32"/>
          <w:szCs w:val="32"/>
          <w:lang w:val="en-US" w:eastAsia="zh-CN"/>
        </w:rPr>
        <w:t>0</w:t>
      </w:r>
      <w:r>
        <w:rPr>
          <w:rFonts w:hint="eastAsia" w:ascii="方正仿宋_GBK" w:hAnsi="宋体" w:eastAsia="方正仿宋_GBK" w:cs="宋体"/>
          <w:kern w:val="0"/>
          <w:sz w:val="32"/>
          <w:szCs w:val="32"/>
        </w:rPr>
        <w:t>个</w:t>
      </w:r>
      <w:r>
        <w:rPr>
          <w:rFonts w:hint="eastAsia" w:ascii="方正仿宋_GBK" w:hAnsi="宋体" w:eastAsia="方正仿宋_GBK" w:cs="宋体"/>
          <w:kern w:val="0"/>
          <w:sz w:val="32"/>
          <w:szCs w:val="32"/>
          <w:lang w:eastAsia="zh-CN"/>
        </w:rPr>
        <w:t>重点专项</w:t>
      </w:r>
      <w:r>
        <w:rPr>
          <w:rFonts w:hint="eastAsia" w:ascii="方正仿宋_GBK" w:hAnsi="宋体" w:eastAsia="方正仿宋_GBK" w:cs="宋体"/>
          <w:kern w:val="0"/>
          <w:sz w:val="32"/>
          <w:szCs w:val="32"/>
        </w:rPr>
        <w:t>项目、</w:t>
      </w:r>
      <w:r>
        <w:rPr>
          <w:rFonts w:hint="eastAsia" w:ascii="方正仿宋_GBK" w:eastAsia="方正仿宋_GBK" w:cs="宋体"/>
          <w:kern w:val="0"/>
          <w:sz w:val="32"/>
          <w:szCs w:val="32"/>
          <w:lang w:val="en-US" w:eastAsia="zh-CN"/>
        </w:rPr>
        <w:t>24</w:t>
      </w:r>
      <w:r>
        <w:rPr>
          <w:rFonts w:hint="eastAsia" w:ascii="方正仿宋_GBK" w:hAnsi="宋体" w:eastAsia="方正仿宋_GBK" w:cs="宋体"/>
          <w:kern w:val="0"/>
          <w:sz w:val="32"/>
          <w:szCs w:val="32"/>
        </w:rPr>
        <w:t>个</w:t>
      </w:r>
      <w:r>
        <w:rPr>
          <w:rFonts w:hint="eastAsia" w:ascii="方正仿宋_GBK" w:hAnsi="宋体" w:eastAsia="方正仿宋_GBK" w:cs="宋体"/>
          <w:kern w:val="0"/>
          <w:sz w:val="32"/>
          <w:szCs w:val="32"/>
          <w:lang w:eastAsia="zh-CN"/>
        </w:rPr>
        <w:t>一般性</w:t>
      </w:r>
      <w:r>
        <w:rPr>
          <w:rFonts w:hint="eastAsia" w:ascii="方正仿宋_GBK" w:hAnsi="宋体" w:eastAsia="方正仿宋_GBK" w:cs="宋体"/>
          <w:kern w:val="0"/>
          <w:sz w:val="32"/>
          <w:szCs w:val="32"/>
        </w:rPr>
        <w:t>项目开展了绩效自评，涉及财政拨款项目支出2295.1</w:t>
      </w:r>
      <w:r>
        <w:rPr>
          <w:rFonts w:hint="eastAsia" w:ascii="方正仿宋_GBK" w:eastAsia="方正仿宋_GBK" w:cs="宋体"/>
          <w:kern w:val="0"/>
          <w:sz w:val="32"/>
          <w:szCs w:val="32"/>
          <w:lang w:val="en-US" w:eastAsia="zh-CN"/>
        </w:rPr>
        <w:t>2</w:t>
      </w:r>
      <w:r>
        <w:rPr>
          <w:rFonts w:hint="eastAsia" w:ascii="方正仿宋_GBK" w:hAnsi="宋体" w:eastAsia="方正仿宋_GBK" w:cs="宋体"/>
          <w:kern w:val="0"/>
          <w:sz w:val="32"/>
          <w:szCs w:val="32"/>
        </w:rPr>
        <w:t>万元。</w:t>
      </w:r>
    </w:p>
    <w:p>
      <w:pPr>
        <w:pStyle w:val="16"/>
        <w:tabs>
          <w:tab w:val="center" w:pos="4153"/>
          <w:tab w:val="left" w:pos="7275"/>
        </w:tabs>
        <w:spacing w:line="596" w:lineRule="exact"/>
        <w:ind w:firstLine="643"/>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二</w:t>
      </w: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绩效自评结果</w:t>
      </w:r>
    </w:p>
    <w:p>
      <w:pPr>
        <w:pStyle w:val="16"/>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整体绩效自评表表样：</w:t>
      </w:r>
    </w:p>
    <w:tbl>
      <w:tblPr>
        <w:tblStyle w:val="7"/>
        <w:tblW w:w="9540" w:type="dxa"/>
        <w:tblInd w:w="93" w:type="dxa"/>
        <w:tblLayout w:type="fixed"/>
        <w:tblCellMar>
          <w:top w:w="0" w:type="dxa"/>
          <w:left w:w="108" w:type="dxa"/>
          <w:bottom w:w="0" w:type="dxa"/>
          <w:right w:w="108" w:type="dxa"/>
        </w:tblCellMar>
      </w:tblPr>
      <w:tblGrid>
        <w:gridCol w:w="600"/>
        <w:gridCol w:w="270"/>
        <w:gridCol w:w="480"/>
        <w:gridCol w:w="573"/>
        <w:gridCol w:w="420"/>
        <w:gridCol w:w="675"/>
        <w:gridCol w:w="795"/>
        <w:gridCol w:w="75"/>
        <w:gridCol w:w="615"/>
        <w:gridCol w:w="219"/>
        <w:gridCol w:w="516"/>
        <w:gridCol w:w="448"/>
        <w:gridCol w:w="497"/>
        <w:gridCol w:w="466"/>
        <w:gridCol w:w="254"/>
        <w:gridCol w:w="672"/>
        <w:gridCol w:w="38"/>
        <w:gridCol w:w="742"/>
        <w:gridCol w:w="222"/>
        <w:gridCol w:w="963"/>
      </w:tblGrid>
      <w:tr>
        <w:tblPrEx>
          <w:tblLayout w:type="fixed"/>
          <w:tblCellMar>
            <w:top w:w="0" w:type="dxa"/>
            <w:left w:w="108" w:type="dxa"/>
            <w:bottom w:w="0" w:type="dxa"/>
            <w:right w:w="108" w:type="dxa"/>
          </w:tblCellMar>
        </w:tblPrEx>
        <w:trPr>
          <w:trHeight w:val="552" w:hRule="atLeast"/>
        </w:trPr>
        <w:tc>
          <w:tcPr>
            <w:tcW w:w="9540" w:type="dxa"/>
            <w:gridSpan w:val="20"/>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年度部门整体绩效自评表</w:t>
            </w:r>
          </w:p>
        </w:tc>
      </w:tr>
      <w:tr>
        <w:tblPrEx>
          <w:tblLayout w:type="fixed"/>
          <w:tblCellMar>
            <w:top w:w="0" w:type="dxa"/>
            <w:left w:w="108" w:type="dxa"/>
            <w:bottom w:w="0" w:type="dxa"/>
            <w:right w:w="108"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10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重庆市万州区财政局</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部门</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联系人</w:t>
            </w:r>
          </w:p>
        </w:tc>
        <w:tc>
          <w:tcPr>
            <w:tcW w:w="1704"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0"/>
                <w:szCs w:val="20"/>
                <w:lang w:val="en-US" w:eastAsia="zh-CN"/>
              </w:rPr>
            </w:pPr>
            <w:r>
              <w:rPr>
                <w:rFonts w:hint="eastAsia" w:cs="宋体"/>
                <w:color w:val="000000"/>
                <w:sz w:val="20"/>
                <w:szCs w:val="20"/>
                <w:lang w:val="en-US" w:eastAsia="zh-CN"/>
              </w:rPr>
              <w:t>任薇</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c>
          <w:tcPr>
            <w:tcW w:w="1927"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58235517</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自评总分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100</w:t>
            </w:r>
          </w:p>
        </w:tc>
      </w:tr>
      <w:tr>
        <w:tblPrEx>
          <w:tblLayout w:type="fixed"/>
          <w:tblCellMar>
            <w:top w:w="0" w:type="dxa"/>
            <w:left w:w="108" w:type="dxa"/>
            <w:bottom w:w="0" w:type="dxa"/>
            <w:right w:w="108" w:type="dxa"/>
          </w:tblCellMar>
        </w:tblPrEx>
        <w:trPr>
          <w:trHeight w:val="450"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当年绩效</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目标</w:t>
            </w:r>
          </w:p>
        </w:tc>
        <w:tc>
          <w:tcPr>
            <w:tcW w:w="214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年初绩效目标</w:t>
            </w:r>
          </w:p>
        </w:tc>
        <w:tc>
          <w:tcPr>
            <w:tcW w:w="2668"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全年（调整）绩效目标</w:t>
            </w:r>
          </w:p>
        </w:tc>
        <w:tc>
          <w:tcPr>
            <w:tcW w:w="3854"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全年目标实际完成情况</w:t>
            </w:r>
          </w:p>
        </w:tc>
      </w:tr>
      <w:tr>
        <w:tblPrEx>
          <w:tblLayout w:type="fixed"/>
          <w:tblCellMar>
            <w:top w:w="0" w:type="dxa"/>
            <w:left w:w="108" w:type="dxa"/>
            <w:bottom w:w="0" w:type="dxa"/>
            <w:right w:w="108" w:type="dxa"/>
          </w:tblCellMar>
        </w:tblPrEx>
        <w:trPr>
          <w:trHeight w:val="1290"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14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有效控制项目支出，提高财政资金使用效率。有效履行财政部门监管职能，切实提高政府采购透明度。加强国有资产管理，按时编制报送行政事业性国有资产管理情况报告。保障全区会计职称考试平稳有序开展。</w:t>
            </w:r>
          </w:p>
        </w:tc>
        <w:tc>
          <w:tcPr>
            <w:tcW w:w="2668"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有效控制项目支出，提高财政资金使用效率。有效履行财政部门监管职能，切实提高政府采购透明度。加强国有资产管理，按时编制报送行政事业性国有资产管理情况报告。保障全区会计职称考试平稳有序开展。</w:t>
            </w:r>
          </w:p>
        </w:tc>
        <w:tc>
          <w:tcPr>
            <w:tcW w:w="3854"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本年度已有效控制了项目支出，提高了财政资金使用效率。有效履行了财政部门监管职能，切实提高了政府采购透明度。加强了国有资产管理，按时编制报送了行政事业性国有资产管理情况报告。保障了全区会计职称考试平稳有序开展。</w:t>
            </w:r>
          </w:p>
        </w:tc>
      </w:tr>
      <w:tr>
        <w:tblPrEx>
          <w:tblLayout w:type="fixed"/>
          <w:tblCellMar>
            <w:top w:w="0" w:type="dxa"/>
            <w:left w:w="108" w:type="dxa"/>
            <w:bottom w:w="0" w:type="dxa"/>
            <w:right w:w="108" w:type="dxa"/>
          </w:tblCellMar>
        </w:tblPrEx>
        <w:trPr>
          <w:trHeight w:val="672"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w:t>
            </w:r>
          </w:p>
        </w:tc>
        <w:tc>
          <w:tcPr>
            <w:tcW w:w="105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指标名称</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计量</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单位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性质</w:t>
            </w:r>
          </w:p>
        </w:tc>
        <w:tc>
          <w:tcPr>
            <w:tcW w:w="8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指标权重</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9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完成值</w:t>
            </w:r>
          </w:p>
        </w:tc>
        <w:tc>
          <w:tcPr>
            <w:tcW w:w="96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指标得分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192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说明</w:t>
            </w:r>
          </w:p>
        </w:tc>
      </w:tr>
      <w:tr>
        <w:tblPrEx>
          <w:tblLayout w:type="fixed"/>
          <w:tblCellMar>
            <w:top w:w="0" w:type="dxa"/>
            <w:left w:w="108" w:type="dxa"/>
            <w:bottom w:w="0" w:type="dxa"/>
            <w:right w:w="108" w:type="dxa"/>
          </w:tblCellMar>
        </w:tblPrEx>
        <w:trPr>
          <w:trHeight w:val="648"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053"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left"/>
              <w:rPr>
                <w:rFonts w:hint="eastAsia" w:ascii="方正仿宋_GBK" w:hAnsi="方正仿宋_GBK" w:eastAsia="方正仿宋_GBK" w:cs="方正仿宋_GBK"/>
                <w:color w:val="000000"/>
                <w:sz w:val="15"/>
                <w:szCs w:val="15"/>
              </w:rPr>
            </w:pPr>
            <w:r>
              <w:rPr>
                <w:rFonts w:hint="eastAsia" w:ascii="宋体" w:hAnsi="宋体"/>
                <w:color w:val="000000"/>
                <w:sz w:val="20"/>
                <w:szCs w:val="21"/>
              </w:rPr>
              <w:t>维护全区政府采购申报的单位覆盖率</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w:t>
            </w:r>
          </w:p>
        </w:tc>
        <w:tc>
          <w:tcPr>
            <w:tcW w:w="8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w:t>
            </w:r>
          </w:p>
        </w:tc>
        <w:tc>
          <w:tcPr>
            <w:tcW w:w="9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100</w:t>
            </w:r>
          </w:p>
        </w:tc>
        <w:tc>
          <w:tcPr>
            <w:tcW w:w="96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w:t>
            </w:r>
          </w:p>
        </w:tc>
        <w:tc>
          <w:tcPr>
            <w:tcW w:w="192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648"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053"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left"/>
              <w:rPr>
                <w:rFonts w:hint="eastAsia" w:ascii="方正仿宋_GBK" w:hAnsi="方正仿宋_GBK" w:eastAsia="方正仿宋_GBK" w:cs="方正仿宋_GBK"/>
                <w:color w:val="000000"/>
                <w:sz w:val="15"/>
                <w:szCs w:val="15"/>
              </w:rPr>
            </w:pPr>
            <w:r>
              <w:rPr>
                <w:rFonts w:hint="eastAsia" w:ascii="宋体" w:hAnsi="宋体"/>
                <w:color w:val="000000"/>
                <w:sz w:val="20"/>
                <w:szCs w:val="21"/>
              </w:rPr>
              <w:t>行政事业单位使用覆盖率</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w:t>
            </w:r>
          </w:p>
        </w:tc>
        <w:tc>
          <w:tcPr>
            <w:tcW w:w="8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20</w:t>
            </w:r>
          </w:p>
        </w:tc>
        <w:tc>
          <w:tcPr>
            <w:tcW w:w="9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100</w:t>
            </w:r>
          </w:p>
        </w:tc>
        <w:tc>
          <w:tcPr>
            <w:tcW w:w="96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20</w:t>
            </w:r>
          </w:p>
        </w:tc>
        <w:tc>
          <w:tcPr>
            <w:tcW w:w="192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648"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053"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left"/>
              <w:rPr>
                <w:rFonts w:hint="eastAsia" w:ascii="方正仿宋_GBK" w:hAnsi="方正仿宋_GBK" w:eastAsia="方正仿宋_GBK" w:cs="方正仿宋_GBK"/>
                <w:color w:val="000000"/>
                <w:sz w:val="15"/>
                <w:szCs w:val="15"/>
              </w:rPr>
            </w:pPr>
            <w:r>
              <w:rPr>
                <w:rFonts w:hint="eastAsia" w:ascii="宋体" w:hAnsi="宋体"/>
                <w:color w:val="000000"/>
                <w:sz w:val="20"/>
                <w:szCs w:val="21"/>
              </w:rPr>
              <w:t>决算及时编制率</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w:t>
            </w:r>
          </w:p>
        </w:tc>
        <w:tc>
          <w:tcPr>
            <w:tcW w:w="8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20</w:t>
            </w:r>
          </w:p>
        </w:tc>
        <w:tc>
          <w:tcPr>
            <w:tcW w:w="9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100</w:t>
            </w:r>
          </w:p>
        </w:tc>
        <w:tc>
          <w:tcPr>
            <w:tcW w:w="96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20</w:t>
            </w:r>
          </w:p>
        </w:tc>
        <w:tc>
          <w:tcPr>
            <w:tcW w:w="192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648"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053"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left"/>
              <w:rPr>
                <w:rFonts w:hint="eastAsia" w:ascii="方正仿宋_GBK" w:hAnsi="方正仿宋_GBK" w:eastAsia="方正仿宋_GBK" w:cs="方正仿宋_GBK"/>
                <w:color w:val="000000"/>
                <w:sz w:val="15"/>
                <w:szCs w:val="15"/>
              </w:rPr>
            </w:pPr>
            <w:r>
              <w:rPr>
                <w:rFonts w:hint="eastAsia" w:ascii="宋体" w:hAnsi="宋体"/>
                <w:color w:val="000000"/>
                <w:sz w:val="20"/>
                <w:szCs w:val="21"/>
              </w:rPr>
              <w:t>行政事业性国有资产管理情况报告完成率</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w:t>
            </w:r>
          </w:p>
        </w:tc>
        <w:tc>
          <w:tcPr>
            <w:tcW w:w="8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20</w:t>
            </w:r>
          </w:p>
        </w:tc>
        <w:tc>
          <w:tcPr>
            <w:tcW w:w="9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100</w:t>
            </w:r>
          </w:p>
        </w:tc>
        <w:tc>
          <w:tcPr>
            <w:tcW w:w="96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20</w:t>
            </w:r>
          </w:p>
        </w:tc>
        <w:tc>
          <w:tcPr>
            <w:tcW w:w="192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648"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053"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left"/>
              <w:rPr>
                <w:rFonts w:hint="eastAsia" w:ascii="方正仿宋_GBK" w:hAnsi="方正仿宋_GBK" w:eastAsia="方正仿宋_GBK" w:cs="方正仿宋_GBK"/>
                <w:color w:val="000000"/>
                <w:sz w:val="15"/>
                <w:szCs w:val="15"/>
              </w:rPr>
            </w:pPr>
            <w:r>
              <w:rPr>
                <w:rFonts w:hint="eastAsia" w:ascii="宋体" w:hAnsi="宋体"/>
                <w:color w:val="000000"/>
                <w:sz w:val="20"/>
                <w:szCs w:val="21"/>
              </w:rPr>
              <w:t>预算一体化系统正常使用天数</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天</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w:t>
            </w:r>
          </w:p>
        </w:tc>
        <w:tc>
          <w:tcPr>
            <w:tcW w:w="8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350</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20</w:t>
            </w:r>
          </w:p>
        </w:tc>
        <w:tc>
          <w:tcPr>
            <w:tcW w:w="9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360</w:t>
            </w:r>
          </w:p>
        </w:tc>
        <w:tc>
          <w:tcPr>
            <w:tcW w:w="96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20</w:t>
            </w:r>
          </w:p>
        </w:tc>
        <w:tc>
          <w:tcPr>
            <w:tcW w:w="192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648"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1053"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left"/>
              <w:rPr>
                <w:rFonts w:hint="eastAsia" w:ascii="方正仿宋_GBK" w:hAnsi="方正仿宋_GBK" w:eastAsia="方正仿宋_GBK" w:cs="方正仿宋_GBK"/>
                <w:color w:val="000000"/>
                <w:sz w:val="15"/>
                <w:szCs w:val="15"/>
              </w:rPr>
            </w:pPr>
            <w:r>
              <w:rPr>
                <w:rFonts w:hint="eastAsia" w:ascii="宋体" w:hAnsi="宋体"/>
                <w:color w:val="000000"/>
                <w:sz w:val="20"/>
                <w:szCs w:val="21"/>
              </w:rPr>
              <w:t>会计人员满意度</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w:t>
            </w:r>
          </w:p>
        </w:tc>
        <w:tc>
          <w:tcPr>
            <w:tcW w:w="8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95</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w:t>
            </w:r>
          </w:p>
        </w:tc>
        <w:tc>
          <w:tcPr>
            <w:tcW w:w="9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99</w:t>
            </w:r>
          </w:p>
        </w:tc>
        <w:tc>
          <w:tcPr>
            <w:tcW w:w="96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方正仿宋_GBK" w:hAnsi="方正仿宋_GBK" w:eastAsia="方正仿宋_GBK" w:cs="方正仿宋_GBK"/>
                <w:color w:val="000000"/>
                <w:sz w:val="15"/>
                <w:szCs w:val="15"/>
              </w:rPr>
            </w:pPr>
            <w:r>
              <w:rPr>
                <w:rFonts w:hint="eastAsia" w:ascii="宋体" w:hAnsi="宋体"/>
                <w:color w:val="000000"/>
                <w:sz w:val="20"/>
                <w:szCs w:val="21"/>
              </w:rPr>
              <w:t>10</w:t>
            </w:r>
          </w:p>
        </w:tc>
        <w:tc>
          <w:tcPr>
            <w:tcW w:w="192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gridAfter w:val="2"/>
          <w:wAfter w:w="1185" w:type="dxa"/>
          <w:trHeight w:val="780" w:hRule="atLeast"/>
        </w:trPr>
        <w:tc>
          <w:tcPr>
            <w:tcW w:w="8355" w:type="dxa"/>
            <w:gridSpan w:val="18"/>
            <w:tcBorders>
              <w:top w:val="nil"/>
              <w:left w:val="nil"/>
              <w:bottom w:val="single" w:color="000000" w:sz="4" w:space="0"/>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w:t>
            </w:r>
            <w:r>
              <w:rPr>
                <w:rFonts w:hint="eastAsia" w:ascii="方正小标宋_GBK" w:hAnsi="方正小标宋_GBK" w:eastAsia="方正小标宋_GBK" w:cs="方正小标宋_GBK"/>
                <w:color w:val="000000"/>
                <w:kern w:val="0"/>
                <w:sz w:val="36"/>
                <w:szCs w:val="36"/>
                <w:lang w:eastAsia="zh-CN" w:bidi="ar"/>
              </w:rPr>
              <w:t>一般性</w:t>
            </w:r>
            <w:r>
              <w:rPr>
                <w:rFonts w:hint="eastAsia" w:ascii="方正小标宋_GBK" w:hAnsi="方正小标宋_GBK" w:eastAsia="方正小标宋_GBK" w:cs="方正小标宋_GBK"/>
                <w:color w:val="000000"/>
                <w:kern w:val="0"/>
                <w:sz w:val="36"/>
                <w:szCs w:val="36"/>
                <w:lang w:bidi="ar"/>
              </w:rPr>
              <w:t>项目支出绩效自评表</w:t>
            </w:r>
          </w:p>
        </w:tc>
      </w:tr>
      <w:tr>
        <w:tblPrEx>
          <w:tblLayout w:type="fixed"/>
          <w:tblCellMar>
            <w:top w:w="0" w:type="dxa"/>
            <w:left w:w="108" w:type="dxa"/>
            <w:bottom w:w="0" w:type="dxa"/>
            <w:right w:w="108" w:type="dxa"/>
          </w:tblCellMar>
        </w:tblPrEx>
        <w:trPr>
          <w:gridAfter w:val="2"/>
          <w:wAfter w:w="1185" w:type="dxa"/>
          <w:trHeight w:val="600" w:hRule="atLeast"/>
        </w:trPr>
        <w:tc>
          <w:tcPr>
            <w:tcW w:w="60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99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gridAfter w:val="2"/>
          <w:wAfter w:w="1185" w:type="dxa"/>
          <w:trHeight w:val="432" w:hRule="atLeast"/>
        </w:trPr>
        <w:tc>
          <w:tcPr>
            <w:tcW w:w="600" w:type="dxa"/>
            <w:vMerge w:val="restart"/>
            <w:tcBorders>
              <w:top w:val="single" w:color="auto" w:sz="4" w:space="0"/>
              <w:left w:val="single" w:color="auto" w:sz="4" w:space="0"/>
              <w:bottom w:val="single" w:color="auto" w:sz="4" w:space="0"/>
              <w:right w:val="single" w:color="auto" w:sz="4" w:space="0"/>
            </w:tcBorders>
            <w:noWrap/>
            <w:vAlign w:val="center"/>
          </w:tcPr>
          <w:p>
            <w:pPr>
              <w:jc w:val="center"/>
              <w:textAlignment w:val="center"/>
              <w:rPr>
                <w:color w:val="000000"/>
                <w:sz w:val="22"/>
              </w:rPr>
            </w:pPr>
            <w:r>
              <w:rPr>
                <w:color w:val="000000"/>
                <w:kern w:val="0"/>
                <w:sz w:val="22"/>
                <w:lang w:bidi="ar"/>
              </w:rPr>
              <w:t>1</w:t>
            </w:r>
          </w:p>
        </w:tc>
        <w:tc>
          <w:tcPr>
            <w:tcW w:w="750" w:type="dxa"/>
            <w:gridSpan w:val="2"/>
            <w:vMerge w:val="restart"/>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资产管理系统运行维护经费</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18"/>
              </w:rPr>
              <w:t>年度预算执行率</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100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w:t>
            </w:r>
          </w:p>
        </w:tc>
        <w:tc>
          <w:tcPr>
            <w:tcW w:w="735" w:type="dxa"/>
            <w:gridSpan w:val="2"/>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10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color w:val="000000"/>
                <w:sz w:val="22"/>
              </w:rPr>
              <w:t>100</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color w:val="000000"/>
                <w:sz w:val="22"/>
              </w:rPr>
              <w:t>10</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gridAfter w:val="2"/>
          <w:wAfter w:w="1185" w:type="dxa"/>
          <w:trHeight w:val="432"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color w:val="000000"/>
                <w:sz w:val="22"/>
              </w:rPr>
            </w:pPr>
          </w:p>
        </w:tc>
        <w:tc>
          <w:tcPr>
            <w:tcW w:w="750"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18"/>
              </w:rPr>
              <w:t>行政事业单位使用覆盖率</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100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7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20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100</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20</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gridAfter w:val="2"/>
          <w:wAfter w:w="1185" w:type="dxa"/>
          <w:trHeight w:val="1081"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color w:val="000000"/>
                <w:sz w:val="22"/>
              </w:rPr>
            </w:pPr>
          </w:p>
        </w:tc>
        <w:tc>
          <w:tcPr>
            <w:tcW w:w="750"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18"/>
              </w:rPr>
              <w:t>维护更新、故障处理时效</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2</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天</w:t>
            </w:r>
          </w:p>
        </w:tc>
        <w:tc>
          <w:tcPr>
            <w:tcW w:w="7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30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2</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30</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gridAfter w:val="2"/>
          <w:wAfter w:w="1185" w:type="dxa"/>
          <w:trHeight w:val="1081"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color w:val="000000"/>
                <w:sz w:val="22"/>
              </w:rPr>
            </w:pPr>
          </w:p>
        </w:tc>
        <w:tc>
          <w:tcPr>
            <w:tcW w:w="750"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18"/>
              </w:rPr>
              <w:t>软件无故障有效运行天数</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270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天</w:t>
            </w:r>
          </w:p>
        </w:tc>
        <w:tc>
          <w:tcPr>
            <w:tcW w:w="7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30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350</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30</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gridAfter w:val="2"/>
          <w:wAfter w:w="1185" w:type="dxa"/>
          <w:trHeight w:val="754"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color w:val="000000"/>
                <w:sz w:val="22"/>
              </w:rPr>
            </w:pPr>
          </w:p>
        </w:tc>
        <w:tc>
          <w:tcPr>
            <w:tcW w:w="750" w:type="dxa"/>
            <w:gridSpan w:val="2"/>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18"/>
              </w:rPr>
              <w:t>使用单位的满意度</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85</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7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10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90</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10</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gridAfter w:val="2"/>
          <w:wAfter w:w="1185" w:type="dxa"/>
          <w:trHeight w:val="432" w:hRule="atLeast"/>
        </w:trPr>
        <w:tc>
          <w:tcPr>
            <w:tcW w:w="600" w:type="dxa"/>
            <w:vMerge w:val="restart"/>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r>
              <w:rPr>
                <w:rFonts w:hint="eastAsia"/>
                <w:color w:val="000000"/>
                <w:kern w:val="0"/>
                <w:sz w:val="22"/>
                <w:lang w:bidi="ar"/>
              </w:rPr>
              <w:t>2</w:t>
            </w:r>
          </w:p>
        </w:tc>
        <w:tc>
          <w:tcPr>
            <w:tcW w:w="75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监督检查和绩效评价外聘中介机构经费</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18"/>
              </w:rPr>
              <w:t>年度预算执行率</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100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w:t>
            </w:r>
          </w:p>
        </w:tc>
        <w:tc>
          <w:tcPr>
            <w:tcW w:w="735" w:type="dxa"/>
            <w:gridSpan w:val="2"/>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10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color w:val="000000"/>
                <w:sz w:val="22"/>
              </w:rPr>
              <w:t>100</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color w:val="000000"/>
                <w:sz w:val="22"/>
              </w:rPr>
              <w:t>10</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gridAfter w:val="2"/>
          <w:wAfter w:w="1185" w:type="dxa"/>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18"/>
              </w:rPr>
              <w:t>监督检查单位（部门）数量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20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个</w:t>
            </w:r>
          </w:p>
        </w:tc>
        <w:tc>
          <w:tcPr>
            <w:tcW w:w="7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40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20</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40</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gridAfter w:val="2"/>
          <w:wAfter w:w="1185" w:type="dxa"/>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18"/>
              </w:rPr>
              <w:t>监督整改问题数量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40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个</w:t>
            </w:r>
          </w:p>
        </w:tc>
        <w:tc>
          <w:tcPr>
            <w:tcW w:w="7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20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47</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20</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gridAfter w:val="2"/>
          <w:wAfter w:w="1185" w:type="dxa"/>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18"/>
              </w:rPr>
              <w:t>审核问题数量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70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个</w:t>
            </w:r>
          </w:p>
        </w:tc>
        <w:tc>
          <w:tcPr>
            <w:tcW w:w="7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30</w:t>
            </w:r>
          </w:p>
        </w:tc>
        <w:tc>
          <w:tcPr>
            <w:tcW w:w="9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78</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30</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bl>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区财政局未委托第三方对我部门开展绩效评价。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color w:val="auto"/>
          <w:sz w:val="32"/>
          <w:szCs w:val="32"/>
          <w:shd w:val="clear" w:color="auto" w:fill="FFFF00"/>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rPr>
        <w:t>023-58235517</w:t>
      </w:r>
      <w:r>
        <w:rPr>
          <w:rFonts w:hint="eastAsia" w:ascii="方正仿宋_GBK" w:hAnsi="方正仿宋_GBK" w:eastAsia="方正仿宋_GBK" w:cs="方正仿宋_GBK"/>
          <w:color w:val="auto"/>
          <w:sz w:val="32"/>
          <w:szCs w:val="32"/>
          <w:shd w:val="clear" w:color="auto" w:fill="FFFFFF"/>
          <w:lang w:eastAsia="zh-CN"/>
        </w:rPr>
        <w:t>。</w:t>
      </w: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重庆市万州区财政局</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6,651.44</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5,401.32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914.33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155.22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180.57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6,651.44</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6,651.44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6,651.44</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6,651.44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重庆市万州区财政局</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6,651.44</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6,651.44</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5,401.32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5,401.32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5,385.83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5,385.83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2,754.82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2,754.82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1,777.78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1,777.78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914.33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914.33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重庆市万州区财政局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6,651.44</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4,356.32</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2,295.12</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5,401.32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3,106.20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2,295.12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5,385.83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3,106.20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2,279.63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2,754.82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2,754.82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501.85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1,777.78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1,777.78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914.33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914.33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909.12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909.12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180.57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180.57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重庆市万州区财政局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6,651.44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5,401.32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5,401.32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914.33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914.33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155.22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155.22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180.57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180.57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6,651.44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6,651.44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6,651.44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6,651.44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6,651.44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6,651.44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重庆市万州区财政局</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6,651.44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4,356.32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2,295.12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5,401.32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3,106.20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2,295.12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5,385.83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3,106.20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2,279.63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2,754.82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2,754.82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501.85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501.85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1,777.78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1,777.78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351.38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351.38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914.33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914.33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909.12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909.12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276.61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276.61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127.16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127.16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483.03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483.03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155.22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155.22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155.22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155.22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84.66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84.66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180.57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180.57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180.57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180.57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180.57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180.57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重庆市万州区财政局</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2,761.09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932.29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637.30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181.99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373.83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795.51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218.23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276.61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127.16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99.22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180.57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636.25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98.24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499.06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99.76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101.75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94.22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114.21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182.82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3,397.34</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958.98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重庆市万州区财政局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重庆市万州区财政局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重庆市万州区财政局</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920.92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23.95</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23.95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793.80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127.12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22.61</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22.61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22.61</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22.61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1.34</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26.70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26.70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26.70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26.70</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0.30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49.78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C4CD5"/>
    <w:rsid w:val="01474EBF"/>
    <w:rsid w:val="01F3521E"/>
    <w:rsid w:val="03B87EA0"/>
    <w:rsid w:val="03E3214F"/>
    <w:rsid w:val="044C50BA"/>
    <w:rsid w:val="05BC6D49"/>
    <w:rsid w:val="06194FF1"/>
    <w:rsid w:val="06A2550B"/>
    <w:rsid w:val="06B65E57"/>
    <w:rsid w:val="06F80EE2"/>
    <w:rsid w:val="07001CCA"/>
    <w:rsid w:val="075678DB"/>
    <w:rsid w:val="079D7CC7"/>
    <w:rsid w:val="08051BCA"/>
    <w:rsid w:val="086C12F4"/>
    <w:rsid w:val="08BA052C"/>
    <w:rsid w:val="08DB07BA"/>
    <w:rsid w:val="0969353F"/>
    <w:rsid w:val="098305D0"/>
    <w:rsid w:val="098A0877"/>
    <w:rsid w:val="0A4706BE"/>
    <w:rsid w:val="0A5C4B69"/>
    <w:rsid w:val="0A86124A"/>
    <w:rsid w:val="0AB54CC0"/>
    <w:rsid w:val="0B9335CE"/>
    <w:rsid w:val="0C7927C4"/>
    <w:rsid w:val="0C9B098C"/>
    <w:rsid w:val="0D673E11"/>
    <w:rsid w:val="0DDA54E4"/>
    <w:rsid w:val="0DDB2058"/>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0E439A"/>
    <w:rsid w:val="2533755C"/>
    <w:rsid w:val="25791755"/>
    <w:rsid w:val="26396DF4"/>
    <w:rsid w:val="27167136"/>
    <w:rsid w:val="27B23302"/>
    <w:rsid w:val="27CB21F9"/>
    <w:rsid w:val="29310A5F"/>
    <w:rsid w:val="29C37A35"/>
    <w:rsid w:val="2A076083"/>
    <w:rsid w:val="2A73162E"/>
    <w:rsid w:val="2B167953"/>
    <w:rsid w:val="2B200583"/>
    <w:rsid w:val="2B8209DE"/>
    <w:rsid w:val="2C6762A3"/>
    <w:rsid w:val="2EBF7B3E"/>
    <w:rsid w:val="2ECD118F"/>
    <w:rsid w:val="2EDE1934"/>
    <w:rsid w:val="2FCA4B37"/>
    <w:rsid w:val="2FE029D7"/>
    <w:rsid w:val="2FF06E00"/>
    <w:rsid w:val="30562E26"/>
    <w:rsid w:val="30586FEC"/>
    <w:rsid w:val="30EC7046"/>
    <w:rsid w:val="315F0B22"/>
    <w:rsid w:val="319D022C"/>
    <w:rsid w:val="31C90022"/>
    <w:rsid w:val="31D84415"/>
    <w:rsid w:val="31E978E5"/>
    <w:rsid w:val="32285F6F"/>
    <w:rsid w:val="32770556"/>
    <w:rsid w:val="329C0913"/>
    <w:rsid w:val="32AA0460"/>
    <w:rsid w:val="332B1863"/>
    <w:rsid w:val="3337290D"/>
    <w:rsid w:val="33E31118"/>
    <w:rsid w:val="33EF7674"/>
    <w:rsid w:val="342D7BC6"/>
    <w:rsid w:val="346F1A07"/>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F13EA6"/>
    <w:rsid w:val="471E6C84"/>
    <w:rsid w:val="4748792B"/>
    <w:rsid w:val="475D719D"/>
    <w:rsid w:val="47674801"/>
    <w:rsid w:val="48225EF7"/>
    <w:rsid w:val="488F422B"/>
    <w:rsid w:val="48E36915"/>
    <w:rsid w:val="48EB792C"/>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185070"/>
    <w:rsid w:val="552256E1"/>
    <w:rsid w:val="554E5773"/>
    <w:rsid w:val="555A3CBC"/>
    <w:rsid w:val="5582012B"/>
    <w:rsid w:val="558E4E05"/>
    <w:rsid w:val="55BE2E85"/>
    <w:rsid w:val="56530F5D"/>
    <w:rsid w:val="567700D3"/>
    <w:rsid w:val="56FF7E9E"/>
    <w:rsid w:val="57026BB2"/>
    <w:rsid w:val="578867FC"/>
    <w:rsid w:val="58055D52"/>
    <w:rsid w:val="5842572D"/>
    <w:rsid w:val="58B20EA6"/>
    <w:rsid w:val="5A3B59D6"/>
    <w:rsid w:val="5AD134D8"/>
    <w:rsid w:val="5B6503B1"/>
    <w:rsid w:val="5C263CE4"/>
    <w:rsid w:val="5C5D2777"/>
    <w:rsid w:val="5CF66BF3"/>
    <w:rsid w:val="5D290C69"/>
    <w:rsid w:val="5D9D6915"/>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D02342"/>
    <w:rsid w:val="6A2063C1"/>
    <w:rsid w:val="6AAD2300"/>
    <w:rsid w:val="6B103696"/>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D061EC"/>
    <w:rsid w:val="7D2E63A3"/>
    <w:rsid w:val="7D7406BB"/>
    <w:rsid w:val="7DE94331"/>
    <w:rsid w:val="7EC90AB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3</TotalTime>
  <ScaleCrop>false</ScaleCrop>
  <LinksUpToDate>false</LinksUpToDate>
  <CharactersWithSpaces>27389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2024-11-05T07:57:39Z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BB46EABDBB2749749395447164B066B3_12</vt:lpwstr>
  </property>
</Properties>
</file>