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重庆市万州区国库集中支付中心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国库集中支付中心主要承担以下主要职能职责：一是根据预算控制数，预算指标和季度分月用款计划，具体办理财政直接支付和财政授权支付业务。按照规定程序审核预算单位直接支付申请，开具财政直接支付汇总清算通知单和支付凭证，代理银行办理支付和结算。根据季度分月用款计划，开具授权支付通知单，代理银行办理支付和结算；二是管理财政零余额账户，试点单位零余额账户，特色专户和试点单位预留印鉴；三是负责试点单位明细账核算；四是按月收取试点单位报送的“拨款对账表”定期与国库处，代理银行和试点单位对账；五是承担对财政资金支付使用情况进行执法检查。</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重庆市万州区国库集中支付中心为区财政局下属非独立核算事业单位，未单独设立科室，其职能职责与区财政局相关科室合并履行。</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2023年度收入总计716.57万元，支出总计</w:t>
      </w:r>
      <w:r>
        <w:rPr>
          <w:rFonts w:ascii="方正仿宋_GBK" w:hAnsi="方正仿宋_GBK" w:eastAsia="方正仿宋_GBK" w:cs="方正仿宋_GBK"/>
          <w:color w:val="auto"/>
          <w:sz w:val="32"/>
          <w:szCs w:val="32"/>
        </w:rPr>
        <w:t>716.57</w:t>
      </w:r>
      <w:r>
        <w:rPr>
          <w:rFonts w:ascii="方正仿宋_GBK" w:hAnsi="方正仿宋_GBK" w:eastAsia="方正仿宋_GBK" w:cs="方正仿宋_GBK"/>
          <w:color w:val="auto"/>
          <w:sz w:val="32"/>
          <w:szCs w:val="32"/>
          <w:shd w:val="clear" w:color="auto" w:fill="FFFFFF"/>
        </w:rPr>
        <w:t>万元。收支较上年决算数增加15.48万元，增长2.21%，主要原因是</w:t>
      </w:r>
      <w:r>
        <w:rPr>
          <w:rFonts w:hint="eastAsia" w:ascii="方正仿宋_GBK" w:hAnsi="方正仿宋_GBK" w:eastAsia="方正仿宋_GBK" w:cs="方正仿宋_GBK"/>
          <w:color w:val="auto"/>
          <w:sz w:val="32"/>
          <w:szCs w:val="32"/>
          <w:shd w:val="clear" w:color="auto" w:fill="FFFFFF"/>
        </w:rPr>
        <w:t>人员调进调出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人员经费及公用经费增加</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2023年度收入合计716.57万元，较上年决算数增加15.48万元，增长2.21%，主要原因是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716.57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716.57</w:t>
      </w:r>
      <w:r>
        <w:rPr>
          <w:rFonts w:ascii="方正仿宋_GBK" w:hAnsi="方正仿宋_GBK" w:eastAsia="方正仿宋_GBK" w:cs="方正仿宋_GBK"/>
          <w:color w:val="auto"/>
          <w:sz w:val="32"/>
          <w:szCs w:val="32"/>
          <w:shd w:val="clear" w:color="auto" w:fill="FFFFFF"/>
        </w:rPr>
        <w:t>万元，较上年决算数增加15.48万元，增长2.21%，主要原因是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655.71</w:t>
      </w:r>
      <w:r>
        <w:rPr>
          <w:rFonts w:ascii="方正仿宋_GBK" w:hAnsi="方正仿宋_GBK" w:eastAsia="方正仿宋_GBK" w:cs="方正仿宋_GBK"/>
          <w:color w:val="auto"/>
          <w:sz w:val="32"/>
          <w:szCs w:val="32"/>
          <w:shd w:val="clear" w:color="auto" w:fill="FFFFFF"/>
        </w:rPr>
        <w:t>万元，占91.51%；项目支出</w:t>
      </w:r>
      <w:r>
        <w:rPr>
          <w:rFonts w:ascii="方正仿宋_GBK" w:hAnsi="方正仿宋_GBK" w:eastAsia="方正仿宋_GBK" w:cs="方正仿宋_GBK"/>
          <w:color w:val="auto"/>
          <w:sz w:val="32"/>
          <w:szCs w:val="32"/>
        </w:rPr>
        <w:t>60.86</w:t>
      </w:r>
      <w:r>
        <w:rPr>
          <w:rFonts w:ascii="方正仿宋_GBK" w:hAnsi="方正仿宋_GBK" w:eastAsia="方正仿宋_GBK" w:cs="方正仿宋_GBK"/>
          <w:color w:val="auto"/>
          <w:sz w:val="32"/>
          <w:szCs w:val="32"/>
          <w:shd w:val="clear" w:color="auto" w:fill="FFFFFF"/>
        </w:rPr>
        <w:t>万元，占8.49%；经营支出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2023年度财政拨款收、支总计716.57万元。与2022年相比，财政拨款收、支总计各增加15.48万元，增长2.21%。主要原因是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716.57</w:t>
      </w:r>
      <w:r>
        <w:rPr>
          <w:rFonts w:ascii="方正仿宋_GBK" w:hAnsi="方正仿宋_GBK" w:eastAsia="方正仿宋_GBK" w:cs="方正仿宋_GBK"/>
          <w:color w:val="auto"/>
          <w:sz w:val="32"/>
          <w:szCs w:val="32"/>
          <w:shd w:val="clear" w:color="auto" w:fill="FFFFFF"/>
        </w:rPr>
        <w:t>万元，较上年决算数增加15.48万元，增长2.21%。主要原因是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。较年初预算数减少15.13万元，下降2.07%。主要原因是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716.57</w:t>
      </w:r>
      <w:r>
        <w:rPr>
          <w:rFonts w:ascii="方正仿宋_GBK" w:hAnsi="方正仿宋_GBK" w:eastAsia="方正仿宋_GBK" w:cs="方正仿宋_GBK"/>
          <w:color w:val="auto"/>
          <w:sz w:val="32"/>
          <w:szCs w:val="32"/>
          <w:shd w:val="clear" w:color="auto" w:fill="FFFFFF"/>
        </w:rPr>
        <w:t>万元，较上年决算数增加15.48万元，增长2.21%。主要原因是</w:t>
      </w:r>
      <w:r>
        <w:rPr>
          <w:rFonts w:hint="eastAsia" w:ascii="方正仿宋_GBK" w:hAnsi="方正仿宋_GBK" w:eastAsia="方正仿宋_GBK" w:cs="方正仿宋_GBK"/>
          <w:color w:val="auto"/>
          <w:sz w:val="32"/>
          <w:szCs w:val="32"/>
          <w:shd w:val="clear" w:color="auto" w:fill="FFFFFF"/>
        </w:rPr>
        <w:t>人员调进调出，人员经费及公用经费增加</w:t>
      </w:r>
      <w:r>
        <w:rPr>
          <w:rFonts w:ascii="方正仿宋_GBK" w:hAnsi="方正仿宋_GBK" w:eastAsia="方正仿宋_GBK" w:cs="方正仿宋_GBK"/>
          <w:color w:val="auto"/>
          <w:sz w:val="32"/>
          <w:szCs w:val="32"/>
          <w:shd w:val="clear" w:color="auto" w:fill="FFFFFF"/>
        </w:rPr>
        <w:t>。较年初预算数减少15.13万元，下降2.07%。</w:t>
      </w:r>
      <w:r>
        <w:rPr>
          <w:rFonts w:hint="eastAsia" w:ascii="方正仿宋_GBK" w:hAnsi="方正仿宋_GBK" w:eastAsia="方正仿宋_GBK" w:cs="方正仿宋_GBK"/>
          <w:color w:val="auto"/>
          <w:sz w:val="32"/>
          <w:szCs w:val="32"/>
          <w:shd w:val="clear" w:color="auto" w:fill="FFFFFF"/>
        </w:rPr>
        <w:t>主要原因是严格执行中央过紧日子的要求，压减一般性支出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550.96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76.89</w:t>
      </w:r>
      <w:r>
        <w:rPr>
          <w:rFonts w:ascii="方正仿宋_GBK" w:hAnsi="方正仿宋_GBK" w:eastAsia="方正仿宋_GBK" w:cs="方正仿宋_GBK"/>
          <w:color w:val="auto"/>
          <w:sz w:val="32"/>
          <w:szCs w:val="32"/>
          <w:shd w:val="clear" w:color="auto" w:fill="FFFFFF"/>
        </w:rPr>
        <w:t>%，较年初预算数增加2.52万元，增长0.46%，主要原因是</w:t>
      </w:r>
      <w:r>
        <w:rPr>
          <w:rFonts w:hint="eastAsia" w:ascii="方正仿宋_GBK" w:hAnsi="方正仿宋_GBK" w:eastAsia="方正仿宋_GBK" w:cs="方正仿宋_GBK"/>
          <w:color w:val="auto"/>
          <w:sz w:val="32"/>
          <w:szCs w:val="32"/>
          <w:shd w:val="clear" w:color="auto" w:fill="FFFFFF"/>
          <w:lang w:val="en-US" w:eastAsia="zh-CN"/>
        </w:rPr>
        <w:t>项目支出增加</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93.45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13.04</w:t>
      </w:r>
      <w:r>
        <w:rPr>
          <w:rFonts w:ascii="方正仿宋_GBK" w:hAnsi="方正仿宋_GBK" w:eastAsia="方正仿宋_GBK" w:cs="方正仿宋_GBK"/>
          <w:color w:val="auto"/>
          <w:sz w:val="32"/>
          <w:szCs w:val="32"/>
          <w:shd w:val="clear" w:color="auto" w:fill="FFFFFF"/>
        </w:rPr>
        <w:t>%，较年初预算数减少11.64万元，下降11.08%，主要原因是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28.84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4.02</w:t>
      </w:r>
      <w:r>
        <w:rPr>
          <w:rFonts w:ascii="方正仿宋_GBK" w:hAnsi="方正仿宋_GBK" w:eastAsia="方正仿宋_GBK" w:cs="方正仿宋_GBK"/>
          <w:color w:val="auto"/>
          <w:sz w:val="32"/>
          <w:szCs w:val="32"/>
          <w:shd w:val="clear" w:color="auto" w:fill="FFFFFF"/>
        </w:rPr>
        <w:t>%，较年初预算数减少0.96万元，下降3.22%，主要原因是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住房保障支出43.33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6.05</w:t>
      </w:r>
      <w:r>
        <w:rPr>
          <w:rFonts w:ascii="方正仿宋_GBK" w:hAnsi="方正仿宋_GBK" w:eastAsia="方正仿宋_GBK" w:cs="方正仿宋_GBK"/>
          <w:color w:val="auto"/>
          <w:sz w:val="32"/>
          <w:szCs w:val="32"/>
          <w:shd w:val="clear" w:color="auto" w:fill="FFFFFF"/>
        </w:rPr>
        <w:t>%，较年初预算数减少5.04万元，下降10.42%，主要原因是</w:t>
      </w:r>
      <w:r>
        <w:rPr>
          <w:rFonts w:hint="eastAsia" w:ascii="方正仿宋_GBK" w:hAnsi="方正仿宋_GBK" w:eastAsia="方正仿宋_GBK" w:cs="方正仿宋_GBK"/>
          <w:color w:val="auto"/>
          <w:sz w:val="32"/>
          <w:szCs w:val="32"/>
          <w:shd w:val="clear" w:color="auto" w:fill="FFFFFF"/>
        </w:rPr>
        <w:t>人员调进调出。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655.71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592.51</w:t>
      </w:r>
      <w:r>
        <w:rPr>
          <w:rFonts w:ascii="方正仿宋_GBK" w:hAnsi="方正仿宋_GBK" w:eastAsia="方正仿宋_GBK" w:cs="方正仿宋_GBK"/>
          <w:color w:val="auto"/>
          <w:sz w:val="32"/>
          <w:szCs w:val="32"/>
          <w:shd w:val="clear" w:color="auto" w:fill="FFFFFF"/>
        </w:rPr>
        <w:t>万元，较上年决算数增加11.07万元，增长1.90%，主要原因是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63.20</w:t>
      </w:r>
      <w:r>
        <w:rPr>
          <w:rFonts w:ascii="方正仿宋_GBK" w:hAnsi="方正仿宋_GBK" w:eastAsia="方正仿宋_GBK" w:cs="方正仿宋_GBK"/>
          <w:color w:val="auto"/>
          <w:sz w:val="32"/>
          <w:szCs w:val="32"/>
          <w:shd w:val="clear" w:color="auto" w:fill="FFFFFF"/>
        </w:rPr>
        <w:t>万元，较上年决算数减少8.95万元，下降12.40%，主要原因是</w:t>
      </w:r>
      <w:r>
        <w:rPr>
          <w:rFonts w:hint="eastAsia" w:ascii="方正仿宋_GBK" w:hAnsi="方正仿宋_GBK" w:eastAsia="方正仿宋_GBK" w:cs="方正仿宋_GBK"/>
          <w:color w:val="auto"/>
          <w:sz w:val="32"/>
          <w:szCs w:val="32"/>
          <w:shd w:val="clear" w:color="auto" w:fill="FFFFFF"/>
          <w:lang w:val="en-US" w:eastAsia="zh-CN"/>
        </w:rPr>
        <w:t>部分费用转到项目经费中开支</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办公费、水费、邮电费、维修（护）费</w:t>
      </w:r>
      <w:r>
        <w:rPr>
          <w:rFonts w:hint="eastAsia" w:ascii="方正仿宋_GBK" w:hAnsi="方正仿宋_GBK" w:eastAsia="方正仿宋_GBK" w:cs="方正仿宋_GBK"/>
          <w:color w:val="auto"/>
          <w:sz w:val="32"/>
          <w:szCs w:val="32"/>
          <w:shd w:val="clear" w:color="auto" w:fill="FFFFFF"/>
          <w:lang w:eastAsia="zh-CN"/>
        </w:rPr>
        <w:t>、劳务费、</w:t>
      </w:r>
      <w:r>
        <w:rPr>
          <w:rFonts w:hint="eastAsia" w:ascii="方正仿宋_GBK" w:hAnsi="方正仿宋_GBK" w:eastAsia="方正仿宋_GBK" w:cs="方正仿宋_GBK"/>
          <w:color w:val="auto"/>
          <w:sz w:val="32"/>
          <w:szCs w:val="32"/>
          <w:shd w:val="clear" w:color="auto" w:fill="FFFFFF"/>
        </w:rPr>
        <w:t>其他交通费、公车运行维护费、培训费、会议费等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4.03</w:t>
      </w:r>
      <w:r>
        <w:rPr>
          <w:rFonts w:ascii="方正仿宋_GBK" w:hAnsi="方正仿宋_GBK" w:eastAsia="方正仿宋_GBK" w:cs="方正仿宋_GBK"/>
          <w:color w:val="auto"/>
          <w:sz w:val="32"/>
          <w:szCs w:val="32"/>
          <w:shd w:val="clear" w:color="auto" w:fill="FFFFFF"/>
        </w:rPr>
        <w:t>万元，较年初预算数减少1.97万元，下降32.83%，主要原因是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。较上年支出数增加4.03万元，增长100.00%，主要原因是</w:t>
      </w:r>
      <w:r>
        <w:rPr>
          <w:rFonts w:hint="eastAsia" w:ascii="方正仿宋_GBK" w:hAnsi="方正仿宋_GBK" w:eastAsia="方正仿宋_GBK" w:cs="方正仿宋_GBK"/>
          <w:color w:val="auto"/>
          <w:sz w:val="32"/>
          <w:szCs w:val="32"/>
          <w:shd w:val="clear" w:color="auto" w:fill="FFFFFF"/>
        </w:rPr>
        <w:t>2022年受疫情影响，无三公经费支出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2023年度本单位因公出国（境）费用0.00万元，主要是用于因公务原因产生的国际旅费、国外城市间交通费、住宿费、伙食费和其他费用。费用支出较年初预算数无增减。较上年支出数无增减，主要原因是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未安排因公出国（境）。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公务车购置费0.00万元，主要用于公务用车购置价款、车辆购置税和其他相关支出。费用支出较年初预算数无增减。较上年支出数无增减，主要原因是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4.03</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机要文件交换、市内因公出行、各项业务检查等工作所需车辆的燃料费、维修费、过桥过路费、保险费等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。费用支出较年初预算数减少1.97万元，下降32.83%，主要原因是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。较上年支出数增加4.03万元，增长100.00%，主要原因是</w:t>
      </w:r>
      <w:r>
        <w:rPr>
          <w:rFonts w:hint="eastAsia" w:ascii="方正仿宋_GBK" w:hAnsi="方正仿宋_GBK" w:eastAsia="方正仿宋_GBK" w:cs="方正仿宋_GBK"/>
          <w:color w:val="auto"/>
          <w:sz w:val="32"/>
          <w:szCs w:val="32"/>
          <w:shd w:val="clear" w:color="auto" w:fill="FFFFFF"/>
        </w:rPr>
        <w:t>2022年受疫情影响，无三公经费支出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公务接待费0.00万元，主要用于接待国内其他省、市、区、县单位到我部学习、考察、调研等工作，接受相关部门检查指导督导工作发生的接待支出。费用支出较年初预算数无增减。较上年支出数无增减</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4.03</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0.30</w:t>
      </w:r>
      <w:r>
        <w:rPr>
          <w:rFonts w:ascii="方正仿宋_GBK" w:hAnsi="方正仿宋_GBK" w:eastAsia="方正仿宋_GBK" w:cs="方正仿宋_GBK"/>
          <w:color w:val="auto"/>
          <w:sz w:val="32"/>
          <w:szCs w:val="32"/>
          <w:shd w:val="clear" w:color="auto" w:fill="FFFFFF"/>
        </w:rPr>
        <w:t>万元，较上年决算数增加0.30万元，增长100.00%，主要原因是</w:t>
      </w:r>
      <w:r>
        <w:rPr>
          <w:rFonts w:hint="eastAsia" w:ascii="方正仿宋_GBK" w:hAnsi="方正仿宋_GBK" w:eastAsia="方正仿宋_GBK" w:cs="方正仿宋_GBK"/>
          <w:color w:val="auto"/>
          <w:sz w:val="32"/>
          <w:szCs w:val="32"/>
          <w:shd w:val="clear" w:color="auto" w:fill="FFFFFF"/>
        </w:rPr>
        <w:t>2022年无会议费支出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0.85</w:t>
      </w:r>
      <w:r>
        <w:rPr>
          <w:rFonts w:ascii="方正仿宋_GBK" w:hAnsi="方正仿宋_GBK" w:eastAsia="方正仿宋_GBK" w:cs="方正仿宋_GBK"/>
          <w:color w:val="auto"/>
          <w:sz w:val="32"/>
          <w:szCs w:val="32"/>
          <w:shd w:val="clear" w:color="auto" w:fill="FFFFFF"/>
        </w:rPr>
        <w:t>万元，较上年决算数增加0.60万元，增长240.00%，主要原因是</w:t>
      </w:r>
      <w:r>
        <w:rPr>
          <w:rFonts w:hint="eastAsia" w:ascii="方正仿宋_GBK" w:hAnsi="方正仿宋_GBK" w:eastAsia="方正仿宋_GBK" w:cs="方正仿宋_GBK"/>
          <w:color w:val="auto"/>
          <w:sz w:val="32"/>
          <w:szCs w:val="32"/>
          <w:shd w:val="clear" w:color="auto" w:fill="FFFFFF"/>
        </w:rPr>
        <w:t>22年</w:t>
      </w:r>
      <w:r>
        <w:rPr>
          <w:rFonts w:hint="eastAsia" w:ascii="方正仿宋_GBK" w:hAnsi="方正仿宋_GBK" w:eastAsia="方正仿宋_GBK" w:cs="方正仿宋_GBK"/>
          <w:color w:val="auto"/>
          <w:sz w:val="32"/>
          <w:szCs w:val="32"/>
          <w:shd w:val="clear" w:color="auto" w:fill="FFFFFF"/>
          <w:lang w:val="en-US" w:eastAsia="zh-CN"/>
        </w:rPr>
        <w:t>国库集中支付</w:t>
      </w:r>
      <w:r>
        <w:rPr>
          <w:rFonts w:hint="eastAsia" w:ascii="方正仿宋_GBK" w:hAnsi="方正仿宋_GBK" w:eastAsia="方正仿宋_GBK" w:cs="方正仿宋_GBK"/>
          <w:color w:val="auto"/>
          <w:sz w:val="32"/>
          <w:szCs w:val="32"/>
          <w:shd w:val="clear" w:color="auto" w:fill="FFFFFF"/>
        </w:rPr>
        <w:t>中心和财政局合并办公，</w:t>
      </w:r>
      <w:r>
        <w:rPr>
          <w:rFonts w:hint="eastAsia" w:ascii="方正仿宋_GBK" w:hAnsi="方正仿宋_GBK" w:eastAsia="方正仿宋_GBK" w:cs="方正仿宋_GBK"/>
          <w:color w:val="auto"/>
          <w:sz w:val="32"/>
          <w:szCs w:val="32"/>
          <w:shd w:val="clear" w:color="auto" w:fill="FFFFFF"/>
          <w:lang w:val="en-US" w:eastAsia="zh-CN"/>
        </w:rPr>
        <w:t>部分</w:t>
      </w:r>
      <w:r>
        <w:rPr>
          <w:rFonts w:hint="eastAsia" w:ascii="方正仿宋_GBK" w:hAnsi="方正仿宋_GBK" w:eastAsia="方正仿宋_GBK" w:cs="方正仿宋_GBK"/>
          <w:color w:val="auto"/>
          <w:sz w:val="32"/>
          <w:szCs w:val="32"/>
          <w:shd w:val="clear" w:color="auto" w:fill="FFFFFF"/>
        </w:rPr>
        <w:t>培训费在财政局（本级）支出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63.20</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办公费、水费、邮电费、维修（护）费、劳务费、其他交通费、公车运行维护费、培训费、会议费</w:t>
      </w:r>
      <w:r>
        <w:rPr>
          <w:rFonts w:hint="eastAsia" w:ascii="方正仿宋_GBK" w:hAnsi="方正仿宋_GBK" w:eastAsia="方正仿宋_GBK" w:cs="方正仿宋_GBK"/>
          <w:color w:val="auto"/>
          <w:sz w:val="32"/>
          <w:szCs w:val="32"/>
          <w:shd w:val="clear" w:color="auto" w:fill="FFFFFF"/>
          <w:lang w:val="en-US" w:eastAsia="zh-CN"/>
        </w:rPr>
        <w:t>等</w:t>
      </w:r>
      <w:r>
        <w:rPr>
          <w:rFonts w:ascii="方正仿宋_GBK" w:hAnsi="方正仿宋_GBK" w:eastAsia="方正仿宋_GBK" w:cs="方正仿宋_GBK"/>
          <w:color w:val="auto"/>
          <w:sz w:val="32"/>
          <w:szCs w:val="32"/>
          <w:shd w:val="clear" w:color="auto" w:fill="FFFFFF"/>
        </w:rPr>
        <w:t>。机关运行经费较上年支出数减少8.95万元，下降12.40%，主要原因是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2023年度我单位未发生政府采购事项</w:t>
      </w:r>
      <w:r>
        <w:rPr>
          <w:rFonts w:hint="eastAsia" w:ascii="方正仿宋_GBK" w:hAnsi="方正仿宋_GBK" w:eastAsia="方正仿宋_GBK" w:cs="方正仿宋_GBK"/>
          <w:sz w:val="32"/>
          <w:szCs w:val="32"/>
          <w:shd w:val="clear" w:color="auto" w:fill="FFFFFF"/>
        </w:rPr>
        <w:t>，无相关经费支出。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（一）单位自评情况</w:t>
      </w:r>
    </w:p>
    <w:p>
      <w:pPr>
        <w:pStyle w:val="16"/>
        <w:tabs>
          <w:tab w:val="center" w:pos="4153"/>
          <w:tab w:val="left" w:pos="7275"/>
        </w:tabs>
        <w:spacing w:line="596" w:lineRule="exact"/>
        <w:ind w:firstLine="64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根据预算绩效管理要求，我单位对</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w:t>
      </w:r>
      <w:r>
        <w:rPr>
          <w:rFonts w:hint="eastAsia" w:ascii="方正仿宋_GBK" w:eastAsia="方正仿宋_GBK" w:cs="宋体"/>
          <w:kern w:val="0"/>
          <w:sz w:val="32"/>
          <w:szCs w:val="32"/>
          <w:lang w:val="en-US" w:eastAsia="zh-CN"/>
        </w:rPr>
        <w:t>4</w:t>
      </w:r>
      <w:r>
        <w:rPr>
          <w:rFonts w:hint="eastAsia" w:ascii="方正仿宋_GBK" w:hAnsi="宋体" w:eastAsia="方正仿宋_GBK" w:cs="宋体"/>
          <w:kern w:val="0"/>
          <w:sz w:val="32"/>
          <w:szCs w:val="32"/>
          <w:lang w:val="en-US" w:eastAsia="zh-CN"/>
        </w:rPr>
        <w:t>个一般性项目开展了绩效自评，涉及财政拨款项目支出60.86万元。</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tbl>
      <w:tblPr>
        <w:tblStyle w:val="7"/>
        <w:tblW w:w="8355" w:type="dxa"/>
        <w:tblInd w:w="93" w:type="dxa"/>
        <w:tblLayout w:type="fixed"/>
        <w:tblCellMar>
          <w:top w:w="0" w:type="dxa"/>
          <w:left w:w="108" w:type="dxa"/>
          <w:bottom w:w="0" w:type="dxa"/>
          <w:right w:w="108" w:type="dxa"/>
        </w:tblCellMar>
      </w:tblPr>
      <w:tblGrid>
        <w:gridCol w:w="600"/>
        <w:gridCol w:w="750"/>
        <w:gridCol w:w="918"/>
        <w:gridCol w:w="900"/>
        <w:gridCol w:w="735"/>
        <w:gridCol w:w="720"/>
        <w:gridCol w:w="705"/>
        <w:gridCol w:w="960"/>
        <w:gridCol w:w="690"/>
        <w:gridCol w:w="597"/>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1171" w:hRule="atLeast"/>
        </w:trPr>
        <w:tc>
          <w:tcPr>
            <w:tcW w:w="600" w:type="dxa"/>
            <w:vMerge w:val="restar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行政事业单位银行账户系统维护费</w:t>
            </w:r>
            <w:r>
              <w:rPr>
                <w:rFonts w:hint="eastAsia" w:ascii="宋体" w:hAnsi="宋体" w:cs="宋体"/>
                <w:color w:val="000000"/>
                <w:sz w:val="22"/>
              </w:rPr>
              <w:tab/>
            </w:r>
          </w:p>
        </w:tc>
        <w:tc>
          <w:tcPr>
            <w:tcW w:w="91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left"/>
              <w:rPr>
                <w:rFonts w:hint="eastAsia" w:ascii="宋体" w:hAnsi="宋体" w:eastAsia="宋体" w:cs="宋体"/>
                <w:color w:val="000000"/>
                <w:sz w:val="22"/>
                <w:szCs w:val="24"/>
                <w:lang w:val="en-US" w:eastAsia="zh-CN" w:bidi="ar-SA"/>
              </w:rPr>
            </w:pPr>
            <w:r>
              <w:rPr>
                <w:rFonts w:hint="eastAsia" w:ascii="宋体" w:hAnsi="宋体"/>
                <w:color w:val="000000"/>
                <w:sz w:val="22"/>
              </w:rPr>
              <w:t>使用单位覆盖率</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ascii="宋体" w:hAnsi="宋体"/>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ascii="宋体" w:hAnsi="宋体"/>
                <w:color w:val="000000"/>
                <w:sz w:val="22"/>
              </w:rPr>
              <w:t>40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919"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问题处理时效</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116"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使用单位的满意度</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85</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146"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1"/>
                <w:szCs w:val="32"/>
              </w:rPr>
              <w:t>年度预</w:t>
            </w:r>
            <w:bookmarkStart w:id="0" w:name="_GoBack"/>
            <w:bookmarkEnd w:id="0"/>
            <w:r>
              <w:rPr>
                <w:rFonts w:hint="eastAsia"/>
                <w:color w:val="000000"/>
                <w:sz w:val="21"/>
                <w:szCs w:val="32"/>
              </w:rPr>
              <w:t>算执行率</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财政预算管理一体化系统运行维护费</w:t>
            </w:r>
            <w:r>
              <w:rPr>
                <w:rFonts w:hint="eastAsia" w:ascii="宋体" w:hAnsi="宋体" w:cs="宋体"/>
                <w:color w:val="000000"/>
                <w:sz w:val="22"/>
              </w:rPr>
              <w:tab/>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left"/>
              <w:rPr>
                <w:rFonts w:hint="eastAsia" w:ascii="宋体" w:hAnsi="宋体" w:cs="宋体"/>
                <w:color w:val="000000"/>
                <w:sz w:val="22"/>
              </w:rPr>
            </w:pPr>
            <w:r>
              <w:rPr>
                <w:rFonts w:hint="eastAsia" w:ascii="宋体" w:hAnsi="宋体"/>
                <w:color w:val="000000"/>
                <w:sz w:val="22"/>
              </w:rPr>
              <w:t>使用单位覆盖率</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left"/>
              <w:rPr>
                <w:rFonts w:hint="eastAsia" w:ascii="宋体" w:hAnsi="宋体" w:cs="宋体"/>
                <w:color w:val="000000"/>
                <w:sz w:val="22"/>
              </w:rPr>
            </w:pPr>
            <w:r>
              <w:rPr>
                <w:rFonts w:hint="eastAsia" w:ascii="宋体" w:hAnsi="宋体"/>
                <w:color w:val="000000"/>
                <w:sz w:val="22"/>
              </w:rPr>
              <w:t>平台正常使用天数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270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350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1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left"/>
              <w:rPr>
                <w:rFonts w:hint="eastAsia" w:ascii="宋体" w:hAnsi="宋体" w:cs="宋体"/>
                <w:color w:val="000000"/>
                <w:sz w:val="22"/>
              </w:rPr>
            </w:pPr>
            <w:r>
              <w:rPr>
                <w:rFonts w:hint="eastAsia" w:ascii="宋体" w:hAnsi="宋体"/>
                <w:color w:val="000000"/>
                <w:sz w:val="22"/>
              </w:rPr>
              <w:t>使用单位的满意度</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85</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6"/>
        <w:tabs>
          <w:tab w:val="center" w:pos="4153"/>
          <w:tab w:val="left" w:pos="7275"/>
        </w:tabs>
        <w:spacing w:line="600"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宋体" w:eastAsia="方正仿宋_GBK" w:cs="宋体"/>
          <w:kern w:val="0"/>
          <w:sz w:val="32"/>
          <w:szCs w:val="32"/>
          <w:lang w:eastAsia="zh-CN"/>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023-58235517。</w:t>
      </w: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 </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重庆市万州区国库集中支付中心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716.57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550.96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716.57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716.57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716.57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288"/>
        <w:gridCol w:w="1116"/>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重庆市万州区国库集中支付中心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86" w:hRule="atLeast"/>
        </w:trPr>
        <w:tc>
          <w:tcPr>
            <w:tcW w:w="499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8" w:type="dxa"/>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99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716.57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716.57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5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412"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重庆市万州区国库集中支付中心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77"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27"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716.57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655.71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0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655.71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592.51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重庆市万州区国库集中支付中心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63.20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63.20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11230A"/>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1F500D4"/>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52427"/>
    <w:rsid w:val="66EE5541"/>
    <w:rsid w:val="67924660"/>
    <w:rsid w:val="68407834"/>
    <w:rsid w:val="6883293E"/>
    <w:rsid w:val="688412AD"/>
    <w:rsid w:val="68D45F06"/>
    <w:rsid w:val="68EB1B71"/>
    <w:rsid w:val="6A6C7940"/>
    <w:rsid w:val="6AAD2300"/>
    <w:rsid w:val="6B474EF5"/>
    <w:rsid w:val="6C0A5AC5"/>
    <w:rsid w:val="6C560CAE"/>
    <w:rsid w:val="6C576495"/>
    <w:rsid w:val="6D903FF5"/>
    <w:rsid w:val="6DA955B8"/>
    <w:rsid w:val="6DE346AB"/>
    <w:rsid w:val="6DE5391A"/>
    <w:rsid w:val="6EDB452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C44C8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Acer</cp:lastModifiedBy>
  <dcterms:modified xsi:type="dcterms:W3CDTF">2024-11-04T08:54:03Z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