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7"/>
          <w:sz w:val="44"/>
          <w:szCs w:val="44"/>
        </w:rPr>
        <w:t>重庆市万州区城市提升指挥部城市管理组办公室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52"/>
        </w:rPr>
      </w:pPr>
      <w:r>
        <w:rPr>
          <w:rFonts w:hint="default" w:ascii="Times New Roman" w:hAnsi="Times New Roman" w:eastAsia="方正小标宋_GBK" w:cs="Times New Roman"/>
          <w:sz w:val="44"/>
          <w:szCs w:val="52"/>
        </w:rPr>
        <w:t>关于开展深入推动城市环境提升喜迎党的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52"/>
        </w:rPr>
      </w:pPr>
      <w:r>
        <w:rPr>
          <w:rFonts w:hint="default" w:ascii="Times New Roman" w:hAnsi="Times New Roman" w:eastAsia="方正小标宋_GBK" w:cs="Times New Roman"/>
          <w:sz w:val="44"/>
          <w:szCs w:val="52"/>
        </w:rPr>
        <w:t>二十大专项行动的通知</w:t>
      </w:r>
    </w:p>
    <w:p>
      <w:pPr>
        <w:pStyle w:val="2"/>
        <w:rPr>
          <w:rFonts w:hint="default"/>
        </w:rPr>
      </w:pPr>
    </w:p>
    <w:p>
      <w:pPr>
        <w:tabs>
          <w:tab w:val="left" w:pos="1230"/>
        </w:tabs>
        <w:spacing w:line="560" w:lineRule="exact"/>
        <w:jc w:val="center"/>
        <w:rPr>
          <w:rFonts w:ascii="方正仿宋_GBK" w:eastAsia="方正仿宋_GBK"/>
          <w:color w:val="auto"/>
          <w:sz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万州城管组办发〔2022〕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45</w:t>
      </w:r>
      <w:r>
        <w:rPr>
          <w:rFonts w:hint="eastAsia" w:ascii="方正仿宋_GBK" w:eastAsia="方正仿宋_GBK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-20"/>
          <w:sz w:val="32"/>
          <w:szCs w:val="32"/>
          <w:lang w:val="en-US" w:eastAsia="zh-CN"/>
        </w:rPr>
        <w:t>各镇乡（民族乡）</w:t>
      </w:r>
      <w:r>
        <w:rPr>
          <w:rFonts w:hint="default" w:ascii="方正仿宋_GBK" w:hAnsi="方正仿宋_GBK" w:eastAsia="方正仿宋_GBK" w:cs="方正仿宋_GBK"/>
          <w:color w:val="auto"/>
          <w:spacing w:val="-20"/>
          <w:kern w:val="2"/>
          <w:sz w:val="32"/>
          <w:szCs w:val="32"/>
          <w:lang w:val="en-US" w:eastAsia="zh-CN" w:bidi="ar"/>
        </w:rPr>
        <w:t>人民政府</w:t>
      </w:r>
      <w:r>
        <w:rPr>
          <w:rFonts w:hint="eastAsia" w:ascii="方正仿宋_GBK" w:hAnsi="方正仿宋_GBK" w:eastAsia="方正仿宋_GBK" w:cs="方正仿宋_GBK"/>
          <w:color w:val="auto"/>
          <w:spacing w:val="-20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eastAsia="zh-CN"/>
        </w:rPr>
        <w:t>各街道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>办事处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eastAsia="zh-CN"/>
        </w:rPr>
        <w:t>，区级有关部门，有关单位：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按照市政府、市城市综合管理办公室安排部署，结合当前重点工作，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在全区开展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深入推动城市环境提升 喜迎党的二十大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专项行动，以干净整洁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有序安全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的城市环境迎接党的二十大胜利召开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现就有关事项通知如下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以习近平新时代中国特色社会主义思想为指导，全面贯彻党的十九大和十九届历次全会精神，深化落实习近平总书记对重庆提出的营造良好政治生态，坚持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两点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定位、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两地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两高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目标，发挥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三个作用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和推动成渝地区双城经济圈建设等重要指示要求，进一步贯彻落实市第六次党代会精神，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深入推动城市更新提升，让城市环境卫生更干净、设施功能更完善、园林绿化更科学、城市秩序更规范、城市运行更安全、民生保障更充实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努力</w:t>
      </w:r>
      <w:r>
        <w:rPr>
          <w:rFonts w:hint="default" w:ascii="Times New Roman" w:hAnsi="Times New Roman" w:eastAsia="方正仿宋_GBK" w:cs="Times New Roman"/>
          <w:sz w:val="32"/>
        </w:rPr>
        <w:t>打造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</w:rPr>
        <w:t>干净整洁有序、山清水秀城美、宜居宜业宜游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”的</w:t>
      </w:r>
      <w:r>
        <w:rPr>
          <w:rFonts w:hint="default" w:ascii="Times New Roman" w:hAnsi="Times New Roman" w:eastAsia="方正仿宋_GBK" w:cs="Times New Roman"/>
          <w:sz w:val="32"/>
        </w:rPr>
        <w:t>城市环境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，不断满足市民对美好生活的向往，以实干实绩迎接党的二十大胜利召开。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二、基本原则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（一）坚持以人为本、问题导向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。坚持以人民为中心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发展思想，聚焦市民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群众的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急难愁盼，从人民群众最关心最直接最现实的利益问题出发，通过实施专项行动解决一批城市管理顽瘴痼疾，真正把实事办到群众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心坎上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（二）坚持统筹兼顾、量力而行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结合2022年我区城市管理工作要点及年度重点工作，因地制宜、务实高效实施专项行动。切实发扬实干苦干务实作风，厉行勤俭节约，在不增加经济负担情况下策划整合年度项目，做到量力而行、尽力而为，不搞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一刀切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花架子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，杜绝形象工程。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（三）坚持</w:t>
      </w:r>
      <w:r>
        <w:rPr>
          <w:rFonts w:hint="default" w:ascii="Times New Roman" w:hAnsi="Times New Roman" w:eastAsia="方正楷体_GBK" w:cs="Times New Roman"/>
          <w:sz w:val="32"/>
          <w:szCs w:val="40"/>
          <w:lang w:eastAsia="zh-CN"/>
        </w:rPr>
        <w:t>问计于民</w:t>
      </w:r>
      <w:r>
        <w:rPr>
          <w:rFonts w:hint="default" w:ascii="Times New Roman" w:hAnsi="Times New Roman" w:eastAsia="方正楷体_GBK" w:cs="Times New Roman"/>
          <w:sz w:val="32"/>
          <w:szCs w:val="40"/>
        </w:rPr>
        <w:t>、共建共享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。切实抓好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马路办公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，做到马路上办、马上就办、办就办好。践行共同缔造理念，联动社区居委会、小区物业服务企业共同发力，采取市民群众喜闻乐见的方式开展提升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行动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，激发市民参与的主动性、积极性，共建共享美好环境。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三、重点任务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贯彻落实住房和城乡建设部《城市市容市貌干净整洁有序安全标准（试行）》等工作要求，重点实施以下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项提升行动：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（一）实施市容环境洁净提升行动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1.开展规范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国旗升挂专项行动。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组织开展“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千万市民升国旗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活动，国庆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期间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，在商业街区、主要交通干道及相关场所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规范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悬挂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使用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国旗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，推动机关企事业单位和市民规范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悬挂、使用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国旗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。以迎国庆为主题开展国旗宣传活动，倡导公民和组织在适宜场合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规范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使用国旗, 表达爱国情感。同时，进一步加强国旗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规范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升挂、使用、收回的监管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执法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。（牵头部门：区城市管理局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责任单位：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各镇乡（民族乡）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"/>
        </w:rPr>
        <w:t>人民政府，各街道办事处，区委各部委，区级国家机关各部门，有关单位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7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2.实施环境卫生集中整治。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深入推进生活垃圾分类工作，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开展生活垃圾监管执法专项行动，持续推进值桶、净桶、翻桶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三桶”行动和落实责任、摆放整齐、分到位和投准确、规范运输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四个专项”行动，提高生活垃圾分类管理水平。结合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全民动手共同缔造山城美丽家园”主题活动，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老旧小区、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背街小巷、城乡结合部等周边及群众反映环境卫生问题集中区域为重点，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开展集中整治，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  <w:lang w:eastAsia="zh-CN"/>
        </w:rPr>
        <w:t>营造干净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</w:rPr>
        <w:t>整洁的城市环境。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责任单位：各街道办事处、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区住房城乡建委、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区城市管理局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、区市场监管局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3.开展户外广告招牌集中整治。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按照“进一步规范城区宣传标语设置管理、重点改善提升关键节点标语质量”的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结合住房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城乡建设部开展安全隐患排查整治行动，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组织开展我区城市规划区范围内户外广告和招牌专项整治行动，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在城市规划区范围内针对户外广告和招牌设置不合理、内容不合规、存在安全隐患等问题开展整治，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城区户外广告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招牌管理水平，努力建成“少而精、节而简、和而美”的城市户外广告招牌新形象，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提升户外广告招牌品质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全面推动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全国文明城区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（责任单位：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各街道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区公安局、区规划自然资源局、区住房城乡建委、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区城市管理局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、区交通局、区市场监管局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（二）实施市政设施更新提升行动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4.开展道桥设施病害专项整治。加强道桥设施巡查和检测，做好结构病害整治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，确保设施运行安全。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坚持全周期、全要素设计理念，开展路平整治和人行道完善提升工作，重点对车行道开裂、拥包、坑凼、沉降，人行道铺装损坏、易滑，桥面破损、伸缩缝损坏堵塞、搭板松动，隧道渗水、衬砌开裂、挂板脱落，道路窨井盖破损、缺失、沉降等病害问题进行整治，进一步提升市民出行安全性、舒适性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（责任单位：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区住房城乡建委、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区城市管理局、区交通局、渝东新区、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经开区建设管理局）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5.开展市政设施容貌集中治理。开展人行护栏、绿化隔离栏、防撞护栏等隔离设施的容貌整治巡查整改，统一样式规格和颜色标准，重点对破损、锈蚀的护栏进行整治。持续开展城市桥梁、隧道设施容貌整治工作。按照微更新、微改造的要求继续推进城市道路隧道口及周边环境提升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做好城市道路精细化管护工作，按照城市道路维护作业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快进快出”和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节能环保”的工作要求，减少对城市交通和环境的影响。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（责任单位：区城市管理局、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区交通局、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渝东新区、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经开区建设管理局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6.强化夜间照明保障。对城市主干道、机场、火车站、码头等窗口地区和都市旅游景区周边的功能照明设施进行全面排查，确保功能正常、灯杆整洁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对道路中央分隔带、绿化带内功能照明管线铺设不规范、线缆裸露等现象进行整治，确保线缆接管下地。对城市隧道、下穿道内功能照明设施进行全面检修和清洁，及时更换破损灯具，清除表面尘污。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路灯维护应优化作业方案，尽量避开车流高峰期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根据实际情况及时调整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夜景灯饰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开灯亮灯时长，提前排查整修夜间照明设施及控制系统，注重维护时效性，确保夜间照明设施运行正常。（责任单位：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办事处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区城市管理局、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渝东新区、三峡平湖公司、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重庆建环集团）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（三）实施园林绿化品质提升行动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52" w:firstLineChars="204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打造山城绿道花境。针对城市重要立交节点、商圈、桥头，因地制宜梳理实施一批花境建设项目，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体现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山城花境特色。（责任单位：区城市管理局、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渝东新区、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经开区建设管理局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三峡平湖公司）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52" w:firstLineChars="204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8.持续推进坡坎崖绿化美化和绿化重点项目。加大边坡、堡坎、崖壁的生态修复力度，进一步修复城市创伤，恢复城市良好的生态面貌。加大城市新建城区规划绿地建设力度，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针对持续高温天气对城市园林绿化造成的损失，要利用秋季重点抓好旱后恢复工作，对部分土层薄、绿化效果差的区域进行土壤改良和景观调整，待气温适宜后立即开展栽植工作。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责任单位：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区城市管理局、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渝东新区、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经开区建设管理局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三峡平湖公司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9.加快新建、改造城市公园。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积极推进社区体育文化公园、口袋公园等公园建设项目，让公园与城市、自然有机结合，为市民提供更多率绿色休闲空间。加速推进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推进三峡平湖旅游区建设，实施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西山公园、北滨公园、三峡动物园等项目建设。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（责任单位：区城市管理局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、三峡平湖公司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（四）实施城市秩序规范提升行动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推进停车秩序规范治理。深化路内停车治理，以强化行业监管、规范设置程序、规范车位施划、规范收费解缴、规范现场服务为重点，坚决查处乱设置、乱收费、乱停放的问题，确保路内停车位设置合规、收费有据、停放有序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组织开展地下停车场监管执法专项行动，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地下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停车场改作他用清理整治，重点清查整治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地下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停车场住人、储存销售易燃易爆（危化）物品、影响消防安全等违法违规行为。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巩固深化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生命通道”集中清障行动，严格执行消防车道净宽不小于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4米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的标准，以老旧小区为重点，根据职能职责依法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查处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机动车辆违法停放人行道堵塞消防车通道的违法行为，对影响消防车通行的路内停车泊位进行再排查再清理。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责任单位：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区发展改革委、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区公安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局、区规划自然资源局、区住房城乡建委、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区城市管理局、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区交通局、区市场监管局、区消防救援支队、重庆建环集团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.规范占道经营秩序。遵循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干道严禁、次干道严控、背街小巷规范”原则，以划定区域、规定时间等方式，为菜农、果农设置临时占道销售点，允许门店经营者适度外摆扩大经营场所、拓展经营场地。坚持包容审慎监管，依法查处不在规定经营区域、时段内经营且严重影响市民正常生活的占道经营摊贩，对不满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三有、三限、三控”条件的占道经营主体实施整治规范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，依法对食品摊区内的食品摊贩实行备案管理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。（责任单位：各街道办事处、区城市管理局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、区市场监管局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.完成违法建筑专项整治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对整治完成的违法建筑开展巡查和核查验收，确保整治效果。对尚未整治完成违法建筑，严格打表推进，10月底前全面完成已查实的存量违法建筑整治。举一反三，持续加强存量违法建筑再清查、再治理，确保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净减少”，对新发现、新发生的新增违法建筑，依法依规从快处置。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组织开展违法建设当事人公共信用信息管理工作。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（责任单位：各街道办事处、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发展改革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委、区经济信息委、区公安局、区规划自然资源局、区住房城乡建委、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区城市管理局）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（五）实施民生实事</w:t>
      </w:r>
      <w:r>
        <w:rPr>
          <w:rFonts w:hint="default" w:ascii="Times New Roman" w:hAnsi="Times New Roman" w:eastAsia="方正楷体_GBK" w:cs="Times New Roman"/>
          <w:sz w:val="32"/>
          <w:szCs w:val="40"/>
          <w:lang w:eastAsia="zh-CN"/>
        </w:rPr>
        <w:t>保障</w:t>
      </w:r>
      <w:r>
        <w:rPr>
          <w:rFonts w:hint="default" w:ascii="Times New Roman" w:hAnsi="Times New Roman" w:eastAsia="方正楷体_GBK" w:cs="Times New Roman"/>
          <w:sz w:val="32"/>
          <w:szCs w:val="40"/>
        </w:rPr>
        <w:t>提升行动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加速推进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老城区环境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小而美”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重点项目。深入开展背街小巷环境整治，完善道路、供水、排水、绿化、照明、生活垃圾分类等设施，打造一批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精品街巷”，让老城焕新颜。实施好街头绿地提质工程、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劳动者港湾”示范点建设、人行道完善提升和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小微停车场”建设等5件市级重点民生实事。（责任单位：区城市管理局、重庆建环集团）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提升服务市民群众效能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开展城市网格化管理效能提升行动，全面发现、及时采集、快速交办城市管理问题，问题采集率和结案率95%以上；12319民生热线做到即呼即应、即诉即办，办结率99%以上。加强与社会服务单位协调对接，加大现场暗查、智能监察和重点督办、绩效评价，提升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处置一件事”的效率。加快城市公众服务提升建设进度，打造停车场（库）、城市公园、城市公厕等智慧应用场景。（责任单位：各街道办事处、区城市管理局、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重庆建环集团、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有关单位）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（六）实施城市运行安全提升行动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.开展隐患排查整治。以落实安全生产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十五条硬措施”及49项具体任务为主线，深化安全大检查，开展百日大整治专项行动。压紧压实安全监管责任，全面落实安全生产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一线责任制”，切实加强一线从业人员安全教育培训和管理，严防各类生产安全事故发生。聚焦城市管理领域重要设施、重点部位，落实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日周月”隐患排查制度，建立隐患整治台账，严格实行闭环管理。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推动城市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管理领域安全生产违法行为和重大隐患举报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，严厉查处安全生产违法行为。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责任单位：各街道办事处、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区经济信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息委、区公安局、区规划自然资源局、区生态环境局、区住房城乡建委、区城市管理局、区交通局、区商务委、区文化旅游委、区应急局、区市场监管局、区大数据发展局、区消防救援支队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.提高应急处置能力。针对高温汛期灾害多发频发的特点，进一步修订完善应急预案、细化应急响应措施并加强培训演练，做好应急抢险救援队伍、物资、装备等准备。密切关注雨情汛情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旱情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和极端灾害天气状况，实时开展风险研判，快速精准响应，高效防范应对各类灾害。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责任单位：各街道办事处、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区经济信息委、区公安局、区规划自然资源局、区生态环境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局、区住房城乡建委、区城市管理局、区交通局、区商务委、区文化旅游委、区应急局、区市场监管局、区大数据发展局、区消防救援支队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四、实施步骤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（一）集中提升阶段（2022年9月）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。结合本地实际，明确工作目标和职责分工，全面启动专项行动，集中力量推进城市环境提升工作，在国庆节前基本完成工作任务，让市民群众切实感受到身边环境的改善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提升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40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40"/>
        </w:rPr>
        <w:t>）攻坚冲刺阶段（2022年10月）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。开展专项行动推进情况专项督查，对未完成的工作任务进行跟踪督办，全力攻坚、打表推进，确保在10月中旬前完成工作任务。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）总结巩固阶段（党的二十大之前）。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对专项行动开展全面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回头看”，及时总结经验，固化行动成果，确保形成长效机制。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40"/>
          <w:lang w:eastAsia="zh-CN"/>
        </w:rPr>
        <w:t>加强组织领导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区城市提升指挥部城市管理组办公室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负责全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专项行动的统筹实施、推进协调、调研督导等工作。各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要建立健全工作推进机制，具体实施本辖区专项行动，强化协作、务实担当，确保工作取得实效。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（二）加强监督指导。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>区城市提升指挥部城市管理组办公室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要对单项目标进行定期研判，对进展滞后的项目要进行督查指导，及时开展现场观摩拉练，营造比学赶超良好氛围，确保整体推进专项行动。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（三）加强宣传发动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。用好新闻报道、微信公众号等新媒体方式，广泛开展专项行动宣传报道工作，及时报道工作中的好经验、好做法和取得的突出效果，形成良好社会氛围。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同时，进一步加强信息报送工作，通过简报、政务信息等形式，定期反馈专项行动工作成效。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楷体_GBK" w:cs="Times New Roman"/>
          <w:sz w:val="32"/>
          <w:szCs w:val="40"/>
        </w:rPr>
        <w:t>（四）健全长效机制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。对专项行动中发现的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堵点痛点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难点问题，尤其是群众反映强烈的、长期积压未解决的难题顽症，加强源头治理，建立长效整治机制。对专项行动开展得好、成效突出的街道、单位进行表扬，并复制推广工作经验，不断提升全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城市管理水平。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2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2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pStyle w:val="1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 xml:space="preserve">       重庆市万州区城市提升指挥部城市管理组办公室</w:t>
      </w:r>
    </w:p>
    <w:p>
      <w:pPr>
        <w:pStyle w:val="1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40"/>
          <w:lang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40"/>
          <w:lang w:val="en-US" w:eastAsia="zh-CN" w:bidi="ar-SA"/>
        </w:rPr>
        <w:t xml:space="preserve">        重庆市万州区城市管理局（代章）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after="0" w:line="520" w:lineRule="exact"/>
        <w:ind w:firstLine="3840" w:firstLineChars="1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日       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7429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（此件公开发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布）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984" w:left="1588" w:header="851" w:footer="124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-86995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1x/xNYAAAAIAQAADwAAAAAA&#10;AAABACAAAAAiAAAAZHJzL2Rvd25yZXYueG1sUEsBAhQAFAAAAAgAh07iQCPLFPAVAgAAEw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RmZTg0MWQyNzNmYTQ1ZTUwOTI3YTk4OTc5NmUifQ=="/>
  </w:docVars>
  <w:rsids>
    <w:rsidRoot w:val="069D6476"/>
    <w:rsid w:val="0000718D"/>
    <w:rsid w:val="00023907"/>
    <w:rsid w:val="00110BAC"/>
    <w:rsid w:val="00117A46"/>
    <w:rsid w:val="00307B48"/>
    <w:rsid w:val="00362FA8"/>
    <w:rsid w:val="003D564B"/>
    <w:rsid w:val="004170CD"/>
    <w:rsid w:val="00482386"/>
    <w:rsid w:val="00494535"/>
    <w:rsid w:val="00524213"/>
    <w:rsid w:val="00525A0A"/>
    <w:rsid w:val="00556189"/>
    <w:rsid w:val="00652860"/>
    <w:rsid w:val="00666D1B"/>
    <w:rsid w:val="006F0D2F"/>
    <w:rsid w:val="007070D4"/>
    <w:rsid w:val="00755DFE"/>
    <w:rsid w:val="007700FE"/>
    <w:rsid w:val="00776E4C"/>
    <w:rsid w:val="00786D63"/>
    <w:rsid w:val="008470E7"/>
    <w:rsid w:val="009E4092"/>
    <w:rsid w:val="00A71928"/>
    <w:rsid w:val="00BF621B"/>
    <w:rsid w:val="00C27735"/>
    <w:rsid w:val="00E138BD"/>
    <w:rsid w:val="00F355B8"/>
    <w:rsid w:val="011955C7"/>
    <w:rsid w:val="01B25E4F"/>
    <w:rsid w:val="069D6476"/>
    <w:rsid w:val="094A2733"/>
    <w:rsid w:val="0CF307C8"/>
    <w:rsid w:val="0DC42CE0"/>
    <w:rsid w:val="10EA47D9"/>
    <w:rsid w:val="12656040"/>
    <w:rsid w:val="131E40C5"/>
    <w:rsid w:val="16AD19E8"/>
    <w:rsid w:val="18B0302B"/>
    <w:rsid w:val="18B10007"/>
    <w:rsid w:val="1A7572A4"/>
    <w:rsid w:val="1DC615E1"/>
    <w:rsid w:val="1E3428B8"/>
    <w:rsid w:val="219E39AE"/>
    <w:rsid w:val="24322408"/>
    <w:rsid w:val="270A7C8A"/>
    <w:rsid w:val="2849547B"/>
    <w:rsid w:val="29E70A7B"/>
    <w:rsid w:val="2A0404DA"/>
    <w:rsid w:val="2F1D099C"/>
    <w:rsid w:val="309434E0"/>
    <w:rsid w:val="31285E68"/>
    <w:rsid w:val="32584D94"/>
    <w:rsid w:val="34E95E89"/>
    <w:rsid w:val="368A71F8"/>
    <w:rsid w:val="3A570AC7"/>
    <w:rsid w:val="3B633A10"/>
    <w:rsid w:val="3C4777EA"/>
    <w:rsid w:val="3C671519"/>
    <w:rsid w:val="3DF30D4B"/>
    <w:rsid w:val="3EB31EE2"/>
    <w:rsid w:val="4042725B"/>
    <w:rsid w:val="41ED13A7"/>
    <w:rsid w:val="466B21E3"/>
    <w:rsid w:val="46897547"/>
    <w:rsid w:val="47543636"/>
    <w:rsid w:val="49B82388"/>
    <w:rsid w:val="4E711F17"/>
    <w:rsid w:val="4F140E5A"/>
    <w:rsid w:val="50536AB4"/>
    <w:rsid w:val="559E62DD"/>
    <w:rsid w:val="56AB615B"/>
    <w:rsid w:val="56B06468"/>
    <w:rsid w:val="5900576F"/>
    <w:rsid w:val="5CB1724E"/>
    <w:rsid w:val="5DA40E01"/>
    <w:rsid w:val="607F35C1"/>
    <w:rsid w:val="66720670"/>
    <w:rsid w:val="66E3019E"/>
    <w:rsid w:val="696A1352"/>
    <w:rsid w:val="6AE00620"/>
    <w:rsid w:val="6C4A7F48"/>
    <w:rsid w:val="6C5D26DE"/>
    <w:rsid w:val="6CAC462A"/>
    <w:rsid w:val="6D074BEE"/>
    <w:rsid w:val="6D915632"/>
    <w:rsid w:val="6E7102A4"/>
    <w:rsid w:val="6EC94529"/>
    <w:rsid w:val="715440AF"/>
    <w:rsid w:val="753A10C5"/>
    <w:rsid w:val="779E7397"/>
    <w:rsid w:val="78AF227D"/>
    <w:rsid w:val="7B9C7C8E"/>
    <w:rsid w:val="7EC36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/>
      <w:sz w:val="22"/>
    </w:rPr>
  </w:style>
  <w:style w:type="paragraph" w:styleId="3">
    <w:name w:val="Body Text Indent"/>
    <w:basedOn w:val="1"/>
    <w:link w:val="21"/>
    <w:qFormat/>
    <w:uiPriority w:val="0"/>
    <w:pPr>
      <w:ind w:firstLine="640" w:firstLineChars="200"/>
    </w:pPr>
    <w:rPr>
      <w:rFonts w:hint="eastAsia" w:ascii="仿宋_GB2312" w:hAnsi="Times New Roman" w:eastAsia="仿宋_GB2312"/>
      <w:sz w:val="32"/>
      <w:szCs w:val="20"/>
    </w:rPr>
  </w:style>
  <w:style w:type="paragraph" w:styleId="4">
    <w:name w:val="Plain Text"/>
    <w:basedOn w:val="1"/>
    <w:next w:val="1"/>
    <w:semiHidden/>
    <w:unhideWhenUsed/>
    <w:qFormat/>
    <w:uiPriority w:val="99"/>
    <w:rPr>
      <w:rFonts w:ascii="宋体" w:hAnsi="Courier New"/>
    </w:r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footer"/>
    <w:basedOn w:val="1"/>
    <w:next w:val="7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nhideWhenUsed/>
    <w:qFormat/>
    <w:uiPriority w:val="99"/>
    <w:pPr>
      <w:spacing w:before="60" w:after="60"/>
    </w:pPr>
    <w:rPr>
      <w:rFonts w:ascii="Arial" w:hAnsi="Arial" w:eastAsia="仿宋_GB2312"/>
      <w:spacing w:val="-5"/>
      <w:szCs w:val="20"/>
      <w:lang w:val="zh-CN" w:eastAsia="en-US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Calibri"/>
      <w:kern w:val="0"/>
      <w:sz w:val="24"/>
    </w:rPr>
  </w:style>
  <w:style w:type="paragraph" w:styleId="11">
    <w:name w:val="Body Text First Indent 2"/>
    <w:basedOn w:val="3"/>
    <w:qFormat/>
    <w:uiPriority w:val="0"/>
    <w:pPr>
      <w:ind w:firstLine="42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14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日期 Char"/>
    <w:basedOn w:val="14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正文文本缩进 Char"/>
    <w:basedOn w:val="14"/>
    <w:link w:val="3"/>
    <w:qFormat/>
    <w:uiPriority w:val="0"/>
    <w:rPr>
      <w:rFonts w:ascii="仿宋_GB2312" w:eastAsia="仿宋_GB2312"/>
      <w:kern w:val="2"/>
      <w:sz w:val="32"/>
    </w:rPr>
  </w:style>
  <w:style w:type="character" w:customStyle="1" w:styleId="22">
    <w:name w:val="二级标题 Char"/>
    <w:link w:val="23"/>
    <w:qFormat/>
    <w:uiPriority w:val="0"/>
    <w:rPr>
      <w:rFonts w:ascii="方正楷体_GBK" w:eastAsia="方正楷体_GBK"/>
      <w:kern w:val="2"/>
      <w:sz w:val="32"/>
      <w:szCs w:val="22"/>
      <w:lang w:val="en-US" w:eastAsia="zh-CN" w:bidi="ar-SA"/>
    </w:rPr>
  </w:style>
  <w:style w:type="paragraph" w:customStyle="1" w:styleId="23">
    <w:name w:val="二级标题"/>
    <w:next w:val="1"/>
    <w:link w:val="22"/>
    <w:qFormat/>
    <w:uiPriority w:val="0"/>
    <w:pPr>
      <w:spacing w:line="600" w:lineRule="exact"/>
      <w:ind w:firstLine="200" w:firstLineChars="200"/>
      <w:jc w:val="both"/>
    </w:pPr>
    <w:rPr>
      <w:rFonts w:ascii="方正楷体_GBK" w:hAnsi="Times New Roman" w:eastAsia="方正楷体_GBK" w:cs="Times New Roman"/>
      <w:kern w:val="2"/>
      <w:sz w:val="32"/>
      <w:szCs w:val="22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5">
    <w:name w:val="一级标题"/>
    <w:next w:val="1"/>
    <w:qFormat/>
    <w:uiPriority w:val="0"/>
    <w:pPr>
      <w:spacing w:line="600" w:lineRule="exact"/>
      <w:ind w:firstLine="200" w:firstLineChars="200"/>
      <w:jc w:val="both"/>
    </w:pPr>
    <w:rPr>
      <w:rFonts w:ascii="方正黑体_GBK" w:hAnsi="Times New Roman" w:eastAsia="方正黑体_GBK" w:cs="Times New Roman"/>
      <w:kern w:val="2"/>
      <w:sz w:val="32"/>
      <w:szCs w:val="22"/>
      <w:lang w:val="en-US" w:eastAsia="zh-CN" w:bidi="ar-SA"/>
    </w:rPr>
  </w:style>
  <w:style w:type="paragraph" w:customStyle="1" w:styleId="26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区城管局</Company>
  <Pages>9</Pages>
  <Words>5167</Words>
  <Characters>5223</Characters>
  <Lines>12</Lines>
  <Paragraphs>3</Paragraphs>
  <TotalTime>0</TotalTime>
  <ScaleCrop>false</ScaleCrop>
  <LinksUpToDate>false</LinksUpToDate>
  <CharactersWithSpaces>5268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2022-01-05T03:37:00Z</dcterms:created>
  <dc:creator>王家国[19923520790]</dc:creator>
  <cp:lastModifiedBy>Administrator</cp:lastModifiedBy>
  <cp:lastPrinted>2022-09-15T08:32:00Z</cp:lastPrinted>
  <dcterms:modified xsi:type="dcterms:W3CDTF">2025-04-18T07:42:49Z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22E9F3449D0B4BFC8C0B49782DF450B5</vt:lpwstr>
  </property>
</Properties>
</file>